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0" w:type="dxa"/>
        <w:tblBorders>
          <w:top w:val="single" w:sz="6" w:space="0" w:color="auto"/>
          <w:bottom w:val="single" w:sz="6" w:space="0" w:color="auto"/>
        </w:tblBorders>
        <w:tblLayout w:type="fixed"/>
        <w:tblLook w:val="0000" w:firstRow="0" w:lastRow="0" w:firstColumn="0" w:lastColumn="0" w:noHBand="0" w:noVBand="0"/>
      </w:tblPr>
      <w:tblGrid>
        <w:gridCol w:w="6948"/>
        <w:gridCol w:w="450"/>
        <w:gridCol w:w="450"/>
        <w:gridCol w:w="450"/>
        <w:gridCol w:w="1001"/>
        <w:gridCol w:w="1001"/>
      </w:tblGrid>
      <w:tr w:rsidR="00B72890" w14:paraId="0690EF29" w14:textId="77777777">
        <w:trPr>
          <w:cantSplit/>
          <w:tblHeader/>
        </w:trPr>
        <w:tc>
          <w:tcPr>
            <w:tcW w:w="6948" w:type="dxa"/>
            <w:tcBorders>
              <w:top w:val="single" w:sz="6" w:space="0" w:color="auto"/>
              <w:bottom w:val="single" w:sz="6" w:space="0" w:color="auto"/>
            </w:tcBorders>
          </w:tcPr>
          <w:p w14:paraId="16919778" w14:textId="77777777" w:rsidR="00B72890" w:rsidRDefault="001B1506">
            <w:pPr>
              <w:pStyle w:val="unformattedtext"/>
              <w:widowControl w:val="0"/>
              <w:spacing w:before="60" w:after="0"/>
              <w:jc w:val="center"/>
              <w:rPr>
                <w:rFonts w:ascii="Arial" w:hAnsi="Arial"/>
                <w:smallCaps/>
                <w:sz w:val="16"/>
              </w:rPr>
            </w:pPr>
            <w:r>
              <w:rPr>
                <w:rFonts w:ascii="Arial" w:hAnsi="Arial"/>
                <w:smallCaps/>
                <w:sz w:val="16"/>
              </w:rPr>
              <w:t xml:space="preserve">LEGEND — </w:t>
            </w:r>
            <w:r>
              <w:rPr>
                <w:rFonts w:ascii="Arial" w:hAnsi="Arial"/>
                <w:b/>
                <w:smallCaps/>
                <w:sz w:val="16"/>
              </w:rPr>
              <w:t>NA</w:t>
            </w:r>
            <w:r>
              <w:rPr>
                <w:rFonts w:ascii="Arial" w:hAnsi="Arial"/>
                <w:smallCaps/>
                <w:sz w:val="16"/>
              </w:rPr>
              <w:t xml:space="preserve"> </w:t>
            </w:r>
            <w:r>
              <w:rPr>
                <w:rFonts w:ascii="Arial" w:hAnsi="Arial"/>
                <w:sz w:val="16"/>
              </w:rPr>
              <w:t xml:space="preserve">= Not </w:t>
            </w:r>
            <w:proofErr w:type="gramStart"/>
            <w:r>
              <w:rPr>
                <w:rFonts w:ascii="Arial" w:hAnsi="Arial"/>
                <w:sz w:val="16"/>
              </w:rPr>
              <w:t>applicable</w:t>
            </w:r>
            <w:r>
              <w:rPr>
                <w:rFonts w:ascii="Arial" w:hAnsi="Arial"/>
                <w:smallCaps/>
                <w:sz w:val="16"/>
              </w:rPr>
              <w:t xml:space="preserve">  </w:t>
            </w:r>
            <w:r>
              <w:rPr>
                <w:rFonts w:ascii="Arial" w:hAnsi="Arial"/>
                <w:b/>
                <w:smallCaps/>
                <w:sz w:val="16"/>
              </w:rPr>
              <w:t>L</w:t>
            </w:r>
            <w:proofErr w:type="gramEnd"/>
            <w:r>
              <w:rPr>
                <w:rFonts w:ascii="Arial" w:hAnsi="Arial"/>
                <w:smallCaps/>
                <w:sz w:val="16"/>
              </w:rPr>
              <w:t xml:space="preserve"> =</w:t>
            </w:r>
            <w:r>
              <w:rPr>
                <w:rFonts w:ascii="Arial" w:hAnsi="Arial"/>
                <w:sz w:val="16"/>
              </w:rPr>
              <w:t xml:space="preserve"> Lawyer</w:t>
            </w:r>
            <w:r>
              <w:rPr>
                <w:rFonts w:ascii="Arial" w:hAnsi="Arial"/>
                <w:smallCaps/>
                <w:sz w:val="16"/>
              </w:rPr>
              <w:t xml:space="preserve">  </w:t>
            </w:r>
            <w:r>
              <w:rPr>
                <w:rFonts w:ascii="Arial" w:hAnsi="Arial"/>
                <w:b/>
                <w:smallCaps/>
                <w:sz w:val="16"/>
              </w:rPr>
              <w:t>LA</w:t>
            </w:r>
            <w:r>
              <w:rPr>
                <w:rFonts w:ascii="Arial" w:hAnsi="Arial"/>
                <w:sz w:val="16"/>
              </w:rPr>
              <w:t xml:space="preserve"> = Legal assistant</w:t>
            </w:r>
          </w:p>
          <w:p w14:paraId="6A6CA3A8" w14:textId="77777777" w:rsidR="00B72890" w:rsidRDefault="001B1506">
            <w:pPr>
              <w:pStyle w:val="unformattedtext"/>
              <w:widowControl w:val="0"/>
              <w:spacing w:before="60" w:after="0"/>
              <w:jc w:val="center"/>
              <w:rPr>
                <w:rFonts w:ascii="Arial" w:hAnsi="Arial"/>
                <w:smallCaps/>
                <w:sz w:val="16"/>
              </w:rPr>
            </w:pPr>
            <w:r>
              <w:rPr>
                <w:rFonts w:ascii="Arial" w:hAnsi="Arial"/>
                <w:smallCaps/>
                <w:sz w:val="16"/>
              </w:rPr>
              <w:t>ACTION TO BE CONSIDERED</w:t>
            </w:r>
          </w:p>
        </w:tc>
        <w:tc>
          <w:tcPr>
            <w:tcW w:w="450" w:type="dxa"/>
            <w:tcBorders>
              <w:top w:val="single" w:sz="6" w:space="0" w:color="auto"/>
              <w:left w:val="single" w:sz="6" w:space="0" w:color="auto"/>
              <w:bottom w:val="single" w:sz="6" w:space="0" w:color="auto"/>
            </w:tcBorders>
          </w:tcPr>
          <w:p w14:paraId="64CF4A0B" w14:textId="77777777" w:rsidR="00B72890" w:rsidRDefault="00B72890">
            <w:pPr>
              <w:pStyle w:val="unformattedtext"/>
              <w:spacing w:before="30" w:after="0"/>
              <w:rPr>
                <w:rFonts w:ascii="Arial" w:hAnsi="Arial"/>
                <w:smallCaps/>
                <w:sz w:val="16"/>
              </w:rPr>
            </w:pPr>
          </w:p>
          <w:p w14:paraId="7F5880A1" w14:textId="77777777" w:rsidR="00B72890" w:rsidRDefault="001B1506">
            <w:pPr>
              <w:pStyle w:val="unformattedtext"/>
              <w:spacing w:before="30" w:after="0"/>
              <w:rPr>
                <w:rFonts w:ascii="Arial" w:hAnsi="Arial"/>
                <w:smallCaps/>
                <w:sz w:val="16"/>
              </w:rPr>
            </w:pPr>
            <w:r>
              <w:rPr>
                <w:rFonts w:ascii="Arial" w:hAnsi="Arial"/>
                <w:smallCaps/>
                <w:sz w:val="16"/>
              </w:rPr>
              <w:t>NA</w:t>
            </w:r>
          </w:p>
        </w:tc>
        <w:tc>
          <w:tcPr>
            <w:tcW w:w="450" w:type="dxa"/>
            <w:tcBorders>
              <w:top w:val="single" w:sz="6" w:space="0" w:color="auto"/>
              <w:left w:val="single" w:sz="6" w:space="0" w:color="auto"/>
              <w:bottom w:val="single" w:sz="6" w:space="0" w:color="auto"/>
            </w:tcBorders>
          </w:tcPr>
          <w:p w14:paraId="014B8B44" w14:textId="77777777" w:rsidR="00B72890" w:rsidRDefault="00B72890">
            <w:pPr>
              <w:pStyle w:val="unformattedtext"/>
              <w:spacing w:before="30" w:after="0"/>
              <w:rPr>
                <w:rFonts w:ascii="Arial" w:hAnsi="Arial"/>
                <w:smallCaps/>
                <w:sz w:val="16"/>
              </w:rPr>
            </w:pPr>
          </w:p>
          <w:p w14:paraId="4A2A5D09" w14:textId="77777777" w:rsidR="00B72890" w:rsidRDefault="001B1506">
            <w:pPr>
              <w:pStyle w:val="unformattedtext"/>
              <w:spacing w:before="30" w:after="0"/>
              <w:rPr>
                <w:rFonts w:ascii="Arial" w:hAnsi="Arial"/>
                <w:smallCaps/>
                <w:sz w:val="16"/>
              </w:rPr>
            </w:pPr>
            <w:r>
              <w:rPr>
                <w:rFonts w:ascii="Arial" w:hAnsi="Arial"/>
                <w:smallCaps/>
                <w:sz w:val="16"/>
              </w:rPr>
              <w:t>L</w:t>
            </w:r>
          </w:p>
        </w:tc>
        <w:tc>
          <w:tcPr>
            <w:tcW w:w="450" w:type="dxa"/>
            <w:tcBorders>
              <w:top w:val="single" w:sz="6" w:space="0" w:color="auto"/>
              <w:left w:val="single" w:sz="6" w:space="0" w:color="auto"/>
              <w:bottom w:val="single" w:sz="6" w:space="0" w:color="auto"/>
            </w:tcBorders>
          </w:tcPr>
          <w:p w14:paraId="563FF7FD" w14:textId="77777777" w:rsidR="00B72890" w:rsidRDefault="00B72890">
            <w:pPr>
              <w:pStyle w:val="unformattedtext"/>
              <w:spacing w:before="30" w:after="0"/>
              <w:rPr>
                <w:rFonts w:ascii="Arial" w:hAnsi="Arial"/>
                <w:smallCaps/>
                <w:sz w:val="16"/>
              </w:rPr>
            </w:pPr>
          </w:p>
          <w:p w14:paraId="6F19826B" w14:textId="77777777" w:rsidR="00B72890" w:rsidRDefault="001B1506">
            <w:pPr>
              <w:pStyle w:val="unformattedtext"/>
              <w:spacing w:before="30" w:after="0"/>
              <w:rPr>
                <w:rFonts w:ascii="Arial" w:hAnsi="Arial"/>
                <w:smallCaps/>
                <w:sz w:val="16"/>
              </w:rPr>
            </w:pPr>
            <w:r>
              <w:rPr>
                <w:rFonts w:ascii="Arial" w:hAnsi="Arial"/>
                <w:smallCaps/>
                <w:sz w:val="16"/>
              </w:rPr>
              <w:t>LA</w:t>
            </w:r>
          </w:p>
        </w:tc>
        <w:tc>
          <w:tcPr>
            <w:tcW w:w="1001" w:type="dxa"/>
            <w:tcBorders>
              <w:top w:val="single" w:sz="6" w:space="0" w:color="auto"/>
              <w:left w:val="single" w:sz="6" w:space="0" w:color="auto"/>
              <w:bottom w:val="single" w:sz="6" w:space="0" w:color="auto"/>
            </w:tcBorders>
          </w:tcPr>
          <w:p w14:paraId="40AD3716" w14:textId="77777777" w:rsidR="00B72890" w:rsidRDefault="001B1506">
            <w:pPr>
              <w:pStyle w:val="unformattedtext"/>
              <w:spacing w:before="60"/>
              <w:rPr>
                <w:rFonts w:ascii="Arial" w:hAnsi="Arial"/>
                <w:smallCaps/>
                <w:sz w:val="16"/>
              </w:rPr>
            </w:pPr>
            <w:r>
              <w:rPr>
                <w:rFonts w:ascii="Arial" w:hAnsi="Arial"/>
                <w:smallCaps/>
                <w:sz w:val="16"/>
              </w:rPr>
              <w:t>DATE DUE</w:t>
            </w:r>
          </w:p>
        </w:tc>
        <w:tc>
          <w:tcPr>
            <w:tcW w:w="1001" w:type="dxa"/>
            <w:tcBorders>
              <w:top w:val="single" w:sz="6" w:space="0" w:color="auto"/>
              <w:left w:val="single" w:sz="6" w:space="0" w:color="auto"/>
              <w:bottom w:val="single" w:sz="6" w:space="0" w:color="auto"/>
            </w:tcBorders>
          </w:tcPr>
          <w:p w14:paraId="50271657" w14:textId="77777777" w:rsidR="00B72890" w:rsidRDefault="001B1506">
            <w:pPr>
              <w:pStyle w:val="unformattedtext"/>
              <w:spacing w:before="60"/>
              <w:rPr>
                <w:rFonts w:ascii="Arial" w:hAnsi="Arial"/>
                <w:smallCaps/>
                <w:sz w:val="16"/>
              </w:rPr>
            </w:pPr>
            <w:r>
              <w:rPr>
                <w:rFonts w:ascii="Arial" w:hAnsi="Arial"/>
                <w:smallCaps/>
                <w:sz w:val="16"/>
              </w:rPr>
              <w:t>DATE DONE</w:t>
            </w:r>
          </w:p>
        </w:tc>
      </w:tr>
      <w:tr w:rsidR="00B72890" w14:paraId="353565B6" w14:textId="77777777">
        <w:trPr>
          <w:cantSplit/>
          <w:tblHeader/>
        </w:trPr>
        <w:tc>
          <w:tcPr>
            <w:tcW w:w="6948" w:type="dxa"/>
            <w:tcBorders>
              <w:top w:val="nil"/>
            </w:tcBorders>
          </w:tcPr>
          <w:p w14:paraId="0133AC6C" w14:textId="77777777" w:rsidR="00B72890" w:rsidRDefault="00B72890">
            <w:pPr>
              <w:pStyle w:val="centre"/>
              <w:keepNext w:val="0"/>
              <w:keepLines w:val="0"/>
              <w:widowControl w:val="0"/>
              <w:suppressAutoHyphens w:val="0"/>
              <w:spacing w:before="0" w:after="0"/>
              <w:jc w:val="both"/>
              <w:rPr>
                <w:b w:val="0"/>
                <w:sz w:val="16"/>
                <w:szCs w:val="16"/>
              </w:rPr>
            </w:pPr>
          </w:p>
        </w:tc>
        <w:tc>
          <w:tcPr>
            <w:tcW w:w="450" w:type="dxa"/>
            <w:tcBorders>
              <w:top w:val="nil"/>
              <w:left w:val="single" w:sz="6" w:space="0" w:color="auto"/>
            </w:tcBorders>
          </w:tcPr>
          <w:p w14:paraId="366A6B60" w14:textId="77777777" w:rsidR="00B72890" w:rsidRDefault="00B72890">
            <w:pPr>
              <w:pStyle w:val="unformattedtext"/>
              <w:spacing w:after="0"/>
              <w:rPr>
                <w:rFonts w:ascii="Arial" w:hAnsi="Arial"/>
                <w:sz w:val="16"/>
                <w:szCs w:val="16"/>
              </w:rPr>
            </w:pPr>
          </w:p>
        </w:tc>
        <w:tc>
          <w:tcPr>
            <w:tcW w:w="450" w:type="dxa"/>
            <w:tcBorders>
              <w:top w:val="nil"/>
              <w:left w:val="single" w:sz="6" w:space="0" w:color="auto"/>
            </w:tcBorders>
          </w:tcPr>
          <w:p w14:paraId="2BA607F0" w14:textId="77777777" w:rsidR="00B72890" w:rsidRDefault="00B72890">
            <w:pPr>
              <w:pStyle w:val="unformattedtext"/>
              <w:spacing w:after="0"/>
              <w:rPr>
                <w:rFonts w:ascii="Arial" w:hAnsi="Arial"/>
                <w:sz w:val="16"/>
                <w:szCs w:val="16"/>
              </w:rPr>
            </w:pPr>
          </w:p>
        </w:tc>
        <w:tc>
          <w:tcPr>
            <w:tcW w:w="450" w:type="dxa"/>
            <w:tcBorders>
              <w:top w:val="nil"/>
              <w:left w:val="single" w:sz="6" w:space="0" w:color="auto"/>
            </w:tcBorders>
          </w:tcPr>
          <w:p w14:paraId="1B8B3AC3" w14:textId="77777777" w:rsidR="00B72890" w:rsidRDefault="00B72890">
            <w:pPr>
              <w:pStyle w:val="unformattedtext"/>
              <w:spacing w:after="0"/>
              <w:rPr>
                <w:rFonts w:ascii="Arial" w:hAnsi="Arial"/>
                <w:sz w:val="16"/>
                <w:szCs w:val="16"/>
              </w:rPr>
            </w:pPr>
          </w:p>
        </w:tc>
        <w:tc>
          <w:tcPr>
            <w:tcW w:w="1001" w:type="dxa"/>
            <w:tcBorders>
              <w:top w:val="nil"/>
              <w:left w:val="single" w:sz="6" w:space="0" w:color="auto"/>
            </w:tcBorders>
          </w:tcPr>
          <w:p w14:paraId="475A03A3" w14:textId="77777777" w:rsidR="00B72890" w:rsidRDefault="00B72890">
            <w:pPr>
              <w:pStyle w:val="unformattedtext"/>
              <w:spacing w:after="0"/>
              <w:rPr>
                <w:rFonts w:ascii="Arial" w:hAnsi="Arial"/>
                <w:sz w:val="16"/>
                <w:szCs w:val="16"/>
              </w:rPr>
            </w:pPr>
          </w:p>
        </w:tc>
        <w:tc>
          <w:tcPr>
            <w:tcW w:w="1001" w:type="dxa"/>
            <w:tcBorders>
              <w:top w:val="nil"/>
              <w:left w:val="single" w:sz="6" w:space="0" w:color="auto"/>
            </w:tcBorders>
          </w:tcPr>
          <w:p w14:paraId="634A51EA" w14:textId="77777777" w:rsidR="00B72890" w:rsidRDefault="00B72890">
            <w:pPr>
              <w:pStyle w:val="unformattedtext"/>
              <w:spacing w:after="0"/>
              <w:rPr>
                <w:rFonts w:ascii="Arial" w:hAnsi="Arial"/>
                <w:sz w:val="16"/>
                <w:szCs w:val="16"/>
              </w:rPr>
            </w:pPr>
          </w:p>
        </w:tc>
      </w:tr>
      <w:tr w:rsidR="00B72890" w:rsidRPr="00FB5173" w14:paraId="2FA20EB8" w14:textId="77777777">
        <w:trPr>
          <w:trHeight w:val="1521"/>
        </w:trPr>
        <w:tc>
          <w:tcPr>
            <w:tcW w:w="6948" w:type="dxa"/>
          </w:tcPr>
          <w:p w14:paraId="5C8BB994" w14:textId="77777777" w:rsidR="00B72890" w:rsidRPr="00404F05" w:rsidRDefault="001B1506">
            <w:pPr>
              <w:pStyle w:val="centre"/>
              <w:keepNext w:val="0"/>
              <w:keepLines w:val="0"/>
              <w:widowControl w:val="0"/>
            </w:pPr>
            <w:r w:rsidRPr="00404F05">
              <w:t>INTRODUCTION</w:t>
            </w:r>
          </w:p>
          <w:p w14:paraId="775B4106" w14:textId="2658E34E" w:rsidR="00B72890" w:rsidRPr="00404F05" w:rsidRDefault="001B1506">
            <w:pPr>
              <w:pStyle w:val="NormalparagraphGN"/>
            </w:pPr>
            <w:r w:rsidRPr="00404F05">
              <w:rPr>
                <w:b/>
                <w:bCs/>
              </w:rPr>
              <w:t xml:space="preserve">Purpose and currency of checklist. </w:t>
            </w:r>
            <w:r w:rsidRPr="00404F05">
              <w:rPr>
                <w:bCs/>
              </w:rPr>
              <w:t xml:space="preserve">This checklist is designed to be used with the </w:t>
            </w:r>
            <w:r w:rsidRPr="00404F05">
              <w:rPr>
                <w:bCs/>
                <w:smallCaps/>
              </w:rPr>
              <w:t>client identification</w:t>
            </w:r>
            <w:r w:rsidRPr="00404F05">
              <w:t xml:space="preserve">, </w:t>
            </w:r>
            <w:r w:rsidRPr="00404F05">
              <w:rPr>
                <w:smallCaps/>
              </w:rPr>
              <w:t>verification, and source of money</w:t>
            </w:r>
            <w:r w:rsidRPr="00404F05">
              <w:rPr>
                <w:bCs/>
                <w:smallCaps/>
              </w:rPr>
              <w:t xml:space="preserve"> </w:t>
            </w:r>
            <w:r w:rsidRPr="00404F05">
              <w:rPr>
                <w:bCs/>
              </w:rPr>
              <w:t xml:space="preserve">(A-1), </w:t>
            </w:r>
            <w:r w:rsidRPr="00404F05">
              <w:rPr>
                <w:bCs/>
                <w:smallCaps/>
              </w:rPr>
              <w:t xml:space="preserve">client </w:t>
            </w:r>
            <w:r w:rsidRPr="00404F05">
              <w:rPr>
                <w:smallCaps/>
              </w:rPr>
              <w:t>file opening and closing</w:t>
            </w:r>
            <w:r w:rsidRPr="00404F05">
              <w:rPr>
                <w:bCs/>
              </w:rPr>
              <w:t xml:space="preserve"> (A-2), and </w:t>
            </w:r>
            <w:r w:rsidRPr="00404F05">
              <w:rPr>
                <w:smallCaps/>
              </w:rPr>
              <w:t>commercial lease drafting</w:t>
            </w:r>
            <w:r w:rsidRPr="00404F05">
              <w:t xml:space="preserve"> (B-11) checklists. Unless otherwise indicated, this checklist is primarily intended for use by the lawyer acting for the landlord. This checklist is current to September 1, 202</w:t>
            </w:r>
            <w:r w:rsidR="00245DED" w:rsidRPr="00404F05">
              <w:t>3</w:t>
            </w:r>
            <w:r w:rsidRPr="00404F05">
              <w:t>.</w:t>
            </w:r>
          </w:p>
          <w:p w14:paraId="1860C00B" w14:textId="54EC26A0" w:rsidR="00B72890" w:rsidRPr="006A5A5E" w:rsidRDefault="001B1506" w:rsidP="006A5A5E">
            <w:pPr>
              <w:pStyle w:val="NormalparagraphGN"/>
              <w:rPr>
                <w:b/>
              </w:rPr>
            </w:pPr>
            <w:r w:rsidRPr="00404F05">
              <w:rPr>
                <w:b/>
              </w:rPr>
              <w:t>New developments:</w:t>
            </w:r>
          </w:p>
        </w:tc>
        <w:tc>
          <w:tcPr>
            <w:tcW w:w="450" w:type="dxa"/>
            <w:tcBorders>
              <w:left w:val="single" w:sz="6" w:space="0" w:color="auto"/>
            </w:tcBorders>
          </w:tcPr>
          <w:p w14:paraId="52B41A85"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626A46D1"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222BAC59"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007FA5CE"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3C0890A6" w14:textId="77777777" w:rsidR="00B72890" w:rsidRPr="008B4C71" w:rsidRDefault="00B72890">
            <w:pPr>
              <w:pStyle w:val="unformattedtext"/>
              <w:spacing w:before="60"/>
              <w:rPr>
                <w:sz w:val="32"/>
                <w:szCs w:val="32"/>
              </w:rPr>
            </w:pPr>
          </w:p>
        </w:tc>
      </w:tr>
      <w:tr w:rsidR="00B72890" w:rsidRPr="00FB5173" w14:paraId="16E792E0" w14:textId="77777777" w:rsidTr="00D72DC6">
        <w:trPr>
          <w:cantSplit/>
          <w:trHeight w:val="729"/>
        </w:trPr>
        <w:tc>
          <w:tcPr>
            <w:tcW w:w="6948" w:type="dxa"/>
          </w:tcPr>
          <w:p w14:paraId="476857FC" w14:textId="53A0A524" w:rsidR="006A5A5E" w:rsidRPr="006A5A5E" w:rsidRDefault="006A5A5E" w:rsidP="006A5A5E">
            <w:pPr>
              <w:pStyle w:val="NormalparagraphGN"/>
              <w:widowControl w:val="0"/>
              <w:numPr>
                <w:ilvl w:val="0"/>
                <w:numId w:val="23"/>
              </w:numPr>
              <w:ind w:left="357" w:hanging="357"/>
              <w:rPr>
                <w:b/>
              </w:rPr>
            </w:pPr>
            <w:r w:rsidRPr="00404F05">
              <w:rPr>
                <w:b/>
                <w:i/>
              </w:rPr>
              <w:t>Force majeure</w:t>
            </w:r>
            <w:r w:rsidRPr="00404F05">
              <w:rPr>
                <w:b/>
              </w:rPr>
              <w:t xml:space="preserve"> and unavoidable delay.</w:t>
            </w:r>
            <w:r w:rsidRPr="00404F05">
              <w:t xml:space="preserve"> For recent caselaw arising out of the COVID-19 pandemic, see ‎</w:t>
            </w:r>
            <w:r w:rsidRPr="00404F05">
              <w:rPr>
                <w:i/>
              </w:rPr>
              <w:t xml:space="preserve">Hudson’s Bay </w:t>
            </w:r>
            <w:r>
              <w:rPr>
                <w:i/>
              </w:rPr>
              <w:t>Co.</w:t>
            </w:r>
            <w:r w:rsidRPr="00404F05">
              <w:rPr>
                <w:i/>
              </w:rPr>
              <w:t xml:space="preserve"> ULC v</w:t>
            </w:r>
            <w:r>
              <w:rPr>
                <w:i/>
              </w:rPr>
              <w:t>.</w:t>
            </w:r>
            <w:r w:rsidRPr="00404F05">
              <w:rPr>
                <w:i/>
              </w:rPr>
              <w:t xml:space="preserve"> </w:t>
            </w:r>
            <w:proofErr w:type="spellStart"/>
            <w:r w:rsidRPr="00404F05">
              <w:rPr>
                <w:i/>
              </w:rPr>
              <w:t>Pensionfund</w:t>
            </w:r>
            <w:proofErr w:type="spellEnd"/>
            <w:r w:rsidRPr="00404F05">
              <w:rPr>
                <w:i/>
              </w:rPr>
              <w:t xml:space="preserve"> Investment Ltd</w:t>
            </w:r>
            <w:r>
              <w:rPr>
                <w:i/>
              </w:rPr>
              <w:t>.</w:t>
            </w:r>
            <w:r w:rsidRPr="00404F05">
              <w:t>, 2020 BCSC 1959</w:t>
            </w:r>
            <w:r>
              <w:t xml:space="preserve"> (Chambers)</w:t>
            </w:r>
            <w:r w:rsidRPr="00404F05">
              <w:t xml:space="preserve">; </w:t>
            </w:r>
            <w:r w:rsidRPr="00404F05">
              <w:rPr>
                <w:i/>
              </w:rPr>
              <w:t>‎Cherry Lane Shopping Centre Holdings Ltd. v</w:t>
            </w:r>
            <w:r>
              <w:rPr>
                <w:i/>
              </w:rPr>
              <w:t>.</w:t>
            </w:r>
            <w:r w:rsidRPr="00404F05">
              <w:rPr>
                <w:i/>
              </w:rPr>
              <w:t xml:space="preserve"> Hudson’s Bay </w:t>
            </w:r>
            <w:r>
              <w:rPr>
                <w:i/>
              </w:rPr>
              <w:t>Co.</w:t>
            </w:r>
            <w:r w:rsidRPr="00404F05">
              <w:rPr>
                <w:i/>
              </w:rPr>
              <w:t xml:space="preserve"> ULC ‎Compagnie De La </w:t>
            </w:r>
            <w:proofErr w:type="spellStart"/>
            <w:r w:rsidRPr="00404F05">
              <w:rPr>
                <w:i/>
              </w:rPr>
              <w:t>Baie</w:t>
            </w:r>
            <w:proofErr w:type="spellEnd"/>
            <w:r w:rsidRPr="00404F05">
              <w:rPr>
                <w:i/>
              </w:rPr>
              <w:t xml:space="preserve"> </w:t>
            </w:r>
            <w:proofErr w:type="spellStart"/>
            <w:r w:rsidRPr="00404F05">
              <w:rPr>
                <w:i/>
              </w:rPr>
              <w:t>D</w:t>
            </w:r>
            <w:r>
              <w:rPr>
                <w:i/>
              </w:rPr>
              <w:t>’</w:t>
            </w:r>
            <w:r w:rsidRPr="00404F05">
              <w:rPr>
                <w:i/>
              </w:rPr>
              <w:t>Hudson</w:t>
            </w:r>
            <w:proofErr w:type="spellEnd"/>
            <w:r w:rsidRPr="00404F05">
              <w:rPr>
                <w:i/>
              </w:rPr>
              <w:t xml:space="preserve"> Sri</w:t>
            </w:r>
            <w:r w:rsidRPr="00404F05">
              <w:t xml:space="preserve">, 2021 BCSC 1178; and </w:t>
            </w:r>
            <w:r w:rsidRPr="00404F05">
              <w:rPr>
                <w:i/>
              </w:rPr>
              <w:t xml:space="preserve">Anthem </w:t>
            </w:r>
            <w:proofErr w:type="spellStart"/>
            <w:r w:rsidRPr="00404F05">
              <w:rPr>
                <w:i/>
              </w:rPr>
              <w:t>Crestpoint</w:t>
            </w:r>
            <w:proofErr w:type="spellEnd"/>
            <w:r w:rsidRPr="00404F05">
              <w:rPr>
                <w:i/>
              </w:rPr>
              <w:t xml:space="preserve"> ‎Tillicum Holdings Ltd. v</w:t>
            </w:r>
            <w:r>
              <w:rPr>
                <w:i/>
              </w:rPr>
              <w:t>.</w:t>
            </w:r>
            <w:r w:rsidRPr="00404F05">
              <w:rPr>
                <w:i/>
              </w:rPr>
              <w:t xml:space="preserve"> Hudson’s Bay </w:t>
            </w:r>
            <w:r>
              <w:rPr>
                <w:i/>
              </w:rPr>
              <w:t>Co.</w:t>
            </w:r>
            <w:r w:rsidRPr="00404F05">
              <w:rPr>
                <w:i/>
              </w:rPr>
              <w:t xml:space="preserve"> ULC Compagnie de la </w:t>
            </w:r>
            <w:proofErr w:type="spellStart"/>
            <w:r w:rsidRPr="00404F05">
              <w:rPr>
                <w:i/>
              </w:rPr>
              <w:t>Baie</w:t>
            </w:r>
            <w:proofErr w:type="spellEnd"/>
            <w:r w:rsidRPr="00404F05">
              <w:rPr>
                <w:i/>
              </w:rPr>
              <w:t xml:space="preserve"> ‎</w:t>
            </w:r>
            <w:proofErr w:type="spellStart"/>
            <w:r w:rsidRPr="00404F05">
              <w:rPr>
                <w:i/>
              </w:rPr>
              <w:t>D</w:t>
            </w:r>
            <w:r>
              <w:rPr>
                <w:i/>
              </w:rPr>
              <w:t>’</w:t>
            </w:r>
            <w:r w:rsidRPr="00404F05">
              <w:rPr>
                <w:i/>
              </w:rPr>
              <w:t>Hudson</w:t>
            </w:r>
            <w:proofErr w:type="spellEnd"/>
            <w:r w:rsidRPr="00404F05">
              <w:rPr>
                <w:i/>
              </w:rPr>
              <w:t xml:space="preserve"> SRI</w:t>
            </w:r>
            <w:r w:rsidRPr="00404F05">
              <w:t>, 2021 BCSC 2108</w:t>
            </w:r>
            <w:r>
              <w:t>,</w:t>
            </w:r>
            <w:r w:rsidRPr="00404F05">
              <w:t xml:space="preserve"> overturned on a separate issue</w:t>
            </w:r>
            <w:r>
              <w:t xml:space="preserve"> 2022 BCCA 166</w:t>
            </w:r>
            <w:r w:rsidRPr="00404F05">
              <w:t>.‎</w:t>
            </w:r>
          </w:p>
          <w:p w14:paraId="70A5DC77" w14:textId="1E553F41" w:rsidR="00B72890" w:rsidRPr="00D72DC6" w:rsidRDefault="001B1506" w:rsidP="006A5A5E">
            <w:pPr>
              <w:pStyle w:val="NormalparagraphGN"/>
              <w:widowControl w:val="0"/>
              <w:numPr>
                <w:ilvl w:val="0"/>
                <w:numId w:val="23"/>
              </w:numPr>
              <w:ind w:left="357" w:hanging="357"/>
              <w:rPr>
                <w:b/>
              </w:rPr>
            </w:pPr>
            <w:r w:rsidRPr="00404F05">
              <w:rPr>
                <w:b/>
                <w:i/>
              </w:rPr>
              <w:t>Arbitration Act</w:t>
            </w:r>
            <w:r w:rsidRPr="00404F05">
              <w:rPr>
                <w:b/>
              </w:rPr>
              <w:t>.</w:t>
            </w:r>
            <w:r w:rsidRPr="00404F05">
              <w:t xml:space="preserve"> The </w:t>
            </w:r>
            <w:r w:rsidRPr="00404F05">
              <w:rPr>
                <w:i/>
              </w:rPr>
              <w:t>Arbitration Act</w:t>
            </w:r>
            <w:r w:rsidRPr="00404F05">
              <w:t>, S.B.C. 2020, c. 2, came into force on September 1, 2020. It is strongly recommended that practitioners review the legislation prior to drafting or revising arbitration clauses in agreements.</w:t>
            </w:r>
          </w:p>
        </w:tc>
        <w:tc>
          <w:tcPr>
            <w:tcW w:w="450" w:type="dxa"/>
            <w:tcBorders>
              <w:left w:val="single" w:sz="6" w:space="0" w:color="auto"/>
            </w:tcBorders>
          </w:tcPr>
          <w:p w14:paraId="2607BC0A" w14:textId="77777777" w:rsidR="00B72890" w:rsidRPr="008B4C71" w:rsidRDefault="00B72890">
            <w:pPr>
              <w:pStyle w:val="NormalparagraphGN"/>
              <w:rPr>
                <w:sz w:val="32"/>
                <w:szCs w:val="32"/>
              </w:rPr>
            </w:pPr>
          </w:p>
        </w:tc>
        <w:tc>
          <w:tcPr>
            <w:tcW w:w="450" w:type="dxa"/>
            <w:tcBorders>
              <w:left w:val="single" w:sz="6" w:space="0" w:color="auto"/>
            </w:tcBorders>
          </w:tcPr>
          <w:p w14:paraId="11C59A63" w14:textId="77777777" w:rsidR="00B72890" w:rsidRPr="008B4C71" w:rsidRDefault="00B72890">
            <w:pPr>
              <w:pStyle w:val="NormalparagraphGN"/>
              <w:rPr>
                <w:sz w:val="32"/>
                <w:szCs w:val="32"/>
              </w:rPr>
            </w:pPr>
          </w:p>
        </w:tc>
        <w:tc>
          <w:tcPr>
            <w:tcW w:w="450" w:type="dxa"/>
            <w:tcBorders>
              <w:left w:val="single" w:sz="6" w:space="0" w:color="auto"/>
            </w:tcBorders>
          </w:tcPr>
          <w:p w14:paraId="64C077C4" w14:textId="77777777" w:rsidR="00B72890" w:rsidRPr="008B4C71" w:rsidRDefault="00B72890">
            <w:pPr>
              <w:pStyle w:val="NormalparagraphGN"/>
              <w:rPr>
                <w:sz w:val="32"/>
                <w:szCs w:val="32"/>
              </w:rPr>
            </w:pPr>
          </w:p>
        </w:tc>
        <w:tc>
          <w:tcPr>
            <w:tcW w:w="1001" w:type="dxa"/>
            <w:tcBorders>
              <w:left w:val="single" w:sz="6" w:space="0" w:color="auto"/>
            </w:tcBorders>
          </w:tcPr>
          <w:p w14:paraId="46BF960F" w14:textId="77777777" w:rsidR="00B72890" w:rsidRPr="008B4C71" w:rsidRDefault="00B72890">
            <w:pPr>
              <w:pStyle w:val="NormalparagraphGN"/>
              <w:rPr>
                <w:sz w:val="32"/>
                <w:szCs w:val="32"/>
              </w:rPr>
            </w:pPr>
          </w:p>
        </w:tc>
        <w:tc>
          <w:tcPr>
            <w:tcW w:w="1001" w:type="dxa"/>
            <w:tcBorders>
              <w:left w:val="single" w:sz="6" w:space="0" w:color="auto"/>
            </w:tcBorders>
          </w:tcPr>
          <w:p w14:paraId="3EECA0F4" w14:textId="77777777" w:rsidR="00B72890" w:rsidRPr="008B4C71" w:rsidRDefault="00B72890">
            <w:pPr>
              <w:pStyle w:val="NormalparagraphGN"/>
              <w:rPr>
                <w:sz w:val="32"/>
                <w:szCs w:val="32"/>
              </w:rPr>
            </w:pPr>
          </w:p>
        </w:tc>
      </w:tr>
      <w:tr w:rsidR="00B72890" w:rsidRPr="00FB5173" w14:paraId="760BE59F" w14:textId="77777777">
        <w:trPr>
          <w:cantSplit/>
          <w:trHeight w:val="1215"/>
        </w:trPr>
        <w:tc>
          <w:tcPr>
            <w:tcW w:w="6948" w:type="dxa"/>
          </w:tcPr>
          <w:p w14:paraId="4CFA53DF" w14:textId="0C85FDD8" w:rsidR="00B72890" w:rsidRPr="00404F05" w:rsidRDefault="00D72DC6" w:rsidP="006A5A5E">
            <w:pPr>
              <w:pStyle w:val="NormalparagraphGN"/>
              <w:widowControl w:val="0"/>
              <w:numPr>
                <w:ilvl w:val="0"/>
                <w:numId w:val="32"/>
              </w:numPr>
              <w:ind w:left="357" w:hanging="357"/>
              <w:rPr>
                <w:b/>
              </w:rPr>
            </w:pPr>
            <w:r w:rsidRPr="00404F05">
              <w:rPr>
                <w:rStyle w:val="Italics"/>
                <w:rFonts w:ascii="Times New Roman" w:hAnsi="Times New Roman"/>
                <w:b/>
                <w:iCs/>
              </w:rPr>
              <w:t>Land Owner Transparency Act</w:t>
            </w:r>
            <w:r w:rsidRPr="00404F05">
              <w:rPr>
                <w:rStyle w:val="Italics"/>
                <w:rFonts w:ascii="Times New Roman" w:hAnsi="Times New Roman"/>
                <w:b/>
                <w:i w:val="0"/>
                <w:iCs/>
              </w:rPr>
              <w:t>.</w:t>
            </w:r>
            <w:r w:rsidRPr="00404F05">
              <w:rPr>
                <w:rStyle w:val="Italics"/>
                <w:rFonts w:ascii="Times New Roman" w:hAnsi="Times New Roman"/>
                <w:i w:val="0"/>
                <w:iCs/>
              </w:rPr>
              <w:t xml:space="preserve"> </w:t>
            </w:r>
            <w:r w:rsidRPr="00404F05">
              <w:rPr>
                <w:iCs/>
                <w:lang w:val="en-CA"/>
              </w:rPr>
              <w:t xml:space="preserve">The </w:t>
            </w:r>
            <w:r w:rsidRPr="00404F05">
              <w:rPr>
                <w:i/>
                <w:iCs/>
                <w:lang w:val="en-CA"/>
              </w:rPr>
              <w:t>Land Owner Transparency Act</w:t>
            </w:r>
            <w:r w:rsidRPr="00404F05">
              <w:rPr>
                <w:iCs/>
                <w:lang w:val="en-CA"/>
              </w:rPr>
              <w:t>, S.B.C. 2019, c. 23 (the “</w:t>
            </w:r>
            <w:r w:rsidRPr="00404F05">
              <w:rPr>
                <w:i/>
                <w:iCs/>
                <w:lang w:val="en-CA"/>
              </w:rPr>
              <w:t>LOTA</w:t>
            </w:r>
            <w:r w:rsidRPr="00404F05">
              <w:rPr>
                <w:iCs/>
                <w:lang w:val="en-CA"/>
              </w:rPr>
              <w:t xml:space="preserve">”) came into force on November 30, 2020 (except for certain specified provisions that </w:t>
            </w:r>
            <w:r w:rsidRPr="00404F05">
              <w:t>came into force</w:t>
            </w:r>
            <w:r w:rsidRPr="00404F05">
              <w:rPr>
                <w:iCs/>
                <w:lang w:val="en-CA"/>
              </w:rPr>
              <w:t xml:space="preserve"> on April 30, 2021). The </w:t>
            </w:r>
            <w:r w:rsidRPr="00404F05">
              <w:rPr>
                <w:i/>
              </w:rPr>
              <w:t>LOTA</w:t>
            </w:r>
            <w:r w:rsidRPr="00404F05">
              <w:rPr>
                <w:iCs/>
                <w:lang w:val="en-CA"/>
              </w:rPr>
              <w:t xml:space="preserve"> also includes the Land Owner Transparency Regulation, </w:t>
            </w:r>
            <w:r w:rsidRPr="00404F05">
              <w:t xml:space="preserve">also </w:t>
            </w:r>
            <w:r w:rsidRPr="00404F05">
              <w:rPr>
                <w:iCs/>
                <w:lang w:val="en-CA"/>
              </w:rPr>
              <w:t>made effective November 30, 2020</w:t>
            </w:r>
            <w:r w:rsidRPr="00404F05">
              <w:t xml:space="preserve">. </w:t>
            </w:r>
            <w:r w:rsidRPr="00404F05">
              <w:rPr>
                <w:iCs/>
                <w:lang w:val="en-CA"/>
              </w:rPr>
              <w:t xml:space="preserve">Under the </w:t>
            </w:r>
            <w:r w:rsidRPr="00404F05">
              <w:rPr>
                <w:i/>
                <w:iCs/>
                <w:lang w:val="en-CA"/>
              </w:rPr>
              <w:t>LOTA</w:t>
            </w:r>
            <w:r w:rsidRPr="00404F05">
              <w:rPr>
                <w:iCs/>
                <w:lang w:val="en-CA"/>
              </w:rPr>
              <w:t xml:space="preserve">, the Land Title and Survey Authority will operate a Land Owner Transparency Registry (the “LOTR”), which is a public database of information on individuals who have an indirect interest in land, such as through a company, trust, or partnership. By the definition of “interest in land” under the </w:t>
            </w:r>
            <w:r w:rsidRPr="00404F05">
              <w:rPr>
                <w:i/>
                <w:iCs/>
                <w:lang w:val="en-CA"/>
              </w:rPr>
              <w:t>LOTA</w:t>
            </w:r>
            <w:r w:rsidRPr="00404F05">
              <w:rPr>
                <w:iCs/>
                <w:lang w:val="en-CA"/>
              </w:rPr>
              <w:t>, a tenant registering a lease in the land title office that has a remaining term of more than 10 years will have to concurrently file a transparency declaration, unless the tenant or the leased lands are exempt (for example,</w:t>
            </w:r>
            <w:r>
              <w:rPr>
                <w:iCs/>
                <w:lang w:val="en-CA"/>
              </w:rPr>
              <w:t xml:space="preserve"> </w:t>
            </w:r>
            <w:r w:rsidRPr="00404F05">
              <w:rPr>
                <w:iCs/>
                <w:lang w:val="en-CA"/>
              </w:rPr>
              <w:t xml:space="preserve">if the tenant is a public company or a strata corporation, or if the lands are treaty or reserve lands). If the tenant is a reporting body under the </w:t>
            </w:r>
            <w:r w:rsidRPr="00404F05">
              <w:rPr>
                <w:i/>
                <w:iCs/>
                <w:lang w:val="en-CA"/>
              </w:rPr>
              <w:t>LOTA—</w:t>
            </w:r>
            <w:r w:rsidRPr="00404F05">
              <w:rPr>
                <w:iCs/>
                <w:lang w:val="en-CA"/>
              </w:rPr>
              <w:t>which includes most corporations, trusts, and partnerships, subject to limited exemptions—it will also have to file a transparency report</w:t>
            </w:r>
            <w:r w:rsidRPr="00404F05">
              <w:t xml:space="preserve"> upon registration and</w:t>
            </w:r>
            <w:r w:rsidRPr="00404F05">
              <w:rPr>
                <w:iCs/>
                <w:lang w:val="en-CA"/>
              </w:rPr>
              <w:t xml:space="preserve"> any time there is a change in the tenant’s interest holders or beneficial owners.</w:t>
            </w:r>
          </w:p>
        </w:tc>
        <w:tc>
          <w:tcPr>
            <w:tcW w:w="450" w:type="dxa"/>
            <w:tcBorders>
              <w:left w:val="single" w:sz="6" w:space="0" w:color="auto"/>
            </w:tcBorders>
          </w:tcPr>
          <w:p w14:paraId="3A706A34" w14:textId="77777777" w:rsidR="00B72890" w:rsidRPr="008B4C71" w:rsidRDefault="00B72890">
            <w:pPr>
              <w:pStyle w:val="NormalparagraphGN"/>
              <w:rPr>
                <w:sz w:val="32"/>
                <w:szCs w:val="32"/>
              </w:rPr>
            </w:pPr>
          </w:p>
        </w:tc>
        <w:tc>
          <w:tcPr>
            <w:tcW w:w="450" w:type="dxa"/>
            <w:tcBorders>
              <w:left w:val="single" w:sz="6" w:space="0" w:color="auto"/>
            </w:tcBorders>
          </w:tcPr>
          <w:p w14:paraId="05A71EB7" w14:textId="77777777" w:rsidR="00B72890" w:rsidRPr="008B4C71" w:rsidRDefault="00B72890">
            <w:pPr>
              <w:pStyle w:val="NormalparagraphGN"/>
              <w:rPr>
                <w:sz w:val="32"/>
                <w:szCs w:val="32"/>
              </w:rPr>
            </w:pPr>
          </w:p>
        </w:tc>
        <w:tc>
          <w:tcPr>
            <w:tcW w:w="450" w:type="dxa"/>
            <w:tcBorders>
              <w:left w:val="single" w:sz="6" w:space="0" w:color="auto"/>
            </w:tcBorders>
          </w:tcPr>
          <w:p w14:paraId="77521371" w14:textId="77777777" w:rsidR="00B72890" w:rsidRPr="008B4C71" w:rsidRDefault="00B72890">
            <w:pPr>
              <w:pStyle w:val="NormalparagraphGN"/>
              <w:rPr>
                <w:sz w:val="32"/>
                <w:szCs w:val="32"/>
              </w:rPr>
            </w:pPr>
          </w:p>
        </w:tc>
        <w:tc>
          <w:tcPr>
            <w:tcW w:w="1001" w:type="dxa"/>
            <w:tcBorders>
              <w:left w:val="single" w:sz="6" w:space="0" w:color="auto"/>
            </w:tcBorders>
          </w:tcPr>
          <w:p w14:paraId="22C0C266" w14:textId="77777777" w:rsidR="00B72890" w:rsidRPr="008B4C71" w:rsidRDefault="00B72890">
            <w:pPr>
              <w:pStyle w:val="NormalparagraphGN"/>
              <w:rPr>
                <w:sz w:val="32"/>
                <w:szCs w:val="32"/>
              </w:rPr>
            </w:pPr>
          </w:p>
        </w:tc>
        <w:tc>
          <w:tcPr>
            <w:tcW w:w="1001" w:type="dxa"/>
            <w:tcBorders>
              <w:left w:val="single" w:sz="6" w:space="0" w:color="auto"/>
            </w:tcBorders>
          </w:tcPr>
          <w:p w14:paraId="57EE8FB5" w14:textId="77777777" w:rsidR="00B72890" w:rsidRPr="008B4C71" w:rsidRDefault="00B72890">
            <w:pPr>
              <w:pStyle w:val="NormalparagraphGN"/>
              <w:rPr>
                <w:sz w:val="32"/>
                <w:szCs w:val="32"/>
              </w:rPr>
            </w:pPr>
          </w:p>
        </w:tc>
      </w:tr>
      <w:tr w:rsidR="00B72890" w:rsidRPr="00FB5173" w14:paraId="5EA7AEAC" w14:textId="77777777" w:rsidTr="008D4DC4">
        <w:trPr>
          <w:cantSplit/>
          <w:trHeight w:val="4941"/>
        </w:trPr>
        <w:tc>
          <w:tcPr>
            <w:tcW w:w="6948" w:type="dxa"/>
          </w:tcPr>
          <w:p w14:paraId="417500EB" w14:textId="739FBED5" w:rsidR="00B72890" w:rsidRPr="00404F05" w:rsidRDefault="001B1506">
            <w:pPr>
              <w:pStyle w:val="NormalparagraphGN"/>
              <w:spacing w:before="40"/>
              <w:ind w:left="360"/>
            </w:pPr>
            <w:r w:rsidRPr="00404F05">
              <w:rPr>
                <w:iCs/>
                <w:lang w:val="en-CA"/>
              </w:rPr>
              <w:t xml:space="preserve">Any tenant who has an existing lease registered in the land title office, with a remaining term of more than 10 years when the </w:t>
            </w:r>
            <w:r w:rsidRPr="00404F05">
              <w:rPr>
                <w:i/>
                <w:iCs/>
                <w:lang w:val="en-CA"/>
              </w:rPr>
              <w:t>LOTA</w:t>
            </w:r>
            <w:r w:rsidRPr="00404F05">
              <w:rPr>
                <w:iCs/>
                <w:lang w:val="en-CA"/>
              </w:rPr>
              <w:t xml:space="preserve"> comes into force on November 30, 2020, will also be required to file a transparency report with the LOTR by November 30, 202</w:t>
            </w:r>
            <w:r w:rsidRPr="00404F05">
              <w:t>2</w:t>
            </w:r>
            <w:r w:rsidRPr="00404F05">
              <w:rPr>
                <w:iCs/>
                <w:lang w:val="en-CA"/>
              </w:rPr>
              <w:t xml:space="preserve">. Landlords who are registered owners of property in any land title office in British Columbia when the </w:t>
            </w:r>
            <w:r w:rsidRPr="00404F05">
              <w:rPr>
                <w:i/>
                <w:iCs/>
                <w:lang w:val="en-CA"/>
              </w:rPr>
              <w:t>LOTA</w:t>
            </w:r>
            <w:r w:rsidRPr="00404F05">
              <w:rPr>
                <w:iCs/>
                <w:lang w:val="en-CA"/>
              </w:rPr>
              <w:t xml:space="preserve"> comes into force, or who become such a registered owner thereafter, will also be required to file a transparency declaration, and if applicable, a transparency report. </w:t>
            </w:r>
            <w:r w:rsidRPr="00404F05">
              <w:t xml:space="preserve">For further information, see the Land Owner Transparency Registry website at </w:t>
            </w:r>
            <w:hyperlink r:id="rId9" w:history="1">
              <w:r w:rsidRPr="00DE7129">
                <w:rPr>
                  <w:rStyle w:val="Hyperlink"/>
                </w:rPr>
                <w:t>https://landtransparency.ca/resources/</w:t>
              </w:r>
            </w:hyperlink>
            <w:r w:rsidRPr="00404F05">
              <w:t xml:space="preserve"> and also the course presentation and materials by </w:t>
            </w:r>
            <w:r w:rsidR="008B4C71">
              <w:br/>
            </w:r>
            <w:r w:rsidRPr="00404F05">
              <w:t xml:space="preserve">S. Carter, R. </w:t>
            </w:r>
            <w:proofErr w:type="spellStart"/>
            <w:r w:rsidRPr="00404F05">
              <w:t>Danakody</w:t>
            </w:r>
            <w:proofErr w:type="spellEnd"/>
            <w:r w:rsidRPr="00404F05">
              <w:t xml:space="preserve">, and C.R MacDonald, “Land Title and Survey Authority of British </w:t>
            </w:r>
            <w:proofErr w:type="spellStart"/>
            <w:r w:rsidRPr="00404F05">
              <w:t>Clumbia</w:t>
            </w:r>
            <w:proofErr w:type="spellEnd"/>
            <w:r w:rsidRPr="00404F05">
              <w:t xml:space="preserve">: Land Owner Transparency Registry”, in </w:t>
            </w:r>
            <w:r w:rsidRPr="00404F05">
              <w:rPr>
                <w:i/>
              </w:rPr>
              <w:t>Residential Real Estate Conference 2020</w:t>
            </w:r>
            <w:r w:rsidRPr="00404F05">
              <w:t xml:space="preserve"> (CLEBC, 2020), and by R. </w:t>
            </w:r>
            <w:proofErr w:type="spellStart"/>
            <w:r w:rsidRPr="00404F05">
              <w:t>Dankody</w:t>
            </w:r>
            <w:proofErr w:type="spellEnd"/>
            <w:r w:rsidRPr="00404F05">
              <w:t xml:space="preserve"> and T. Norman, “Land Owner Transparency Registry (LOTR)” in </w:t>
            </w:r>
            <w:r w:rsidRPr="00404F05">
              <w:rPr>
                <w:i/>
              </w:rPr>
              <w:t>Real Estate Development Update 2021</w:t>
            </w:r>
            <w:r w:rsidRPr="00404F05">
              <w:t xml:space="preserve"> (CLEBC, 2021), and by R. </w:t>
            </w:r>
            <w:proofErr w:type="spellStart"/>
            <w:r w:rsidRPr="00404F05">
              <w:t>Danakody</w:t>
            </w:r>
            <w:proofErr w:type="spellEnd"/>
            <w:r w:rsidRPr="00404F05">
              <w:t xml:space="preserve"> and T. Norman, “Land Owner Transparency Registry (LOTR)” in </w:t>
            </w:r>
            <w:r w:rsidRPr="00404F05">
              <w:rPr>
                <w:i/>
              </w:rPr>
              <w:t>Real Estate Development Update 2021</w:t>
            </w:r>
            <w:r w:rsidRPr="00404F05">
              <w:t xml:space="preserve"> (CLEBC, 2021), available through CLEBC Courses on Demand.</w:t>
            </w:r>
          </w:p>
        </w:tc>
        <w:tc>
          <w:tcPr>
            <w:tcW w:w="450" w:type="dxa"/>
            <w:tcBorders>
              <w:left w:val="single" w:sz="6" w:space="0" w:color="auto"/>
            </w:tcBorders>
          </w:tcPr>
          <w:p w14:paraId="40B11076" w14:textId="77777777" w:rsidR="00B72890" w:rsidRPr="008B4C71" w:rsidRDefault="00B72890">
            <w:pPr>
              <w:pStyle w:val="NormalparagraphGN"/>
              <w:rPr>
                <w:sz w:val="32"/>
                <w:szCs w:val="32"/>
              </w:rPr>
            </w:pPr>
          </w:p>
        </w:tc>
        <w:tc>
          <w:tcPr>
            <w:tcW w:w="450" w:type="dxa"/>
            <w:tcBorders>
              <w:left w:val="single" w:sz="6" w:space="0" w:color="auto"/>
            </w:tcBorders>
          </w:tcPr>
          <w:p w14:paraId="63D15795" w14:textId="77777777" w:rsidR="00B72890" w:rsidRPr="008B4C71" w:rsidRDefault="00B72890">
            <w:pPr>
              <w:pStyle w:val="NormalparagraphGN"/>
              <w:rPr>
                <w:sz w:val="32"/>
                <w:szCs w:val="32"/>
              </w:rPr>
            </w:pPr>
          </w:p>
        </w:tc>
        <w:tc>
          <w:tcPr>
            <w:tcW w:w="450" w:type="dxa"/>
            <w:tcBorders>
              <w:left w:val="single" w:sz="6" w:space="0" w:color="auto"/>
            </w:tcBorders>
          </w:tcPr>
          <w:p w14:paraId="7119CB5D" w14:textId="77777777" w:rsidR="00B72890" w:rsidRPr="008B4C71" w:rsidRDefault="00B72890">
            <w:pPr>
              <w:pStyle w:val="NormalparagraphGN"/>
              <w:rPr>
                <w:sz w:val="32"/>
                <w:szCs w:val="32"/>
              </w:rPr>
            </w:pPr>
          </w:p>
        </w:tc>
        <w:tc>
          <w:tcPr>
            <w:tcW w:w="1001" w:type="dxa"/>
            <w:tcBorders>
              <w:left w:val="single" w:sz="6" w:space="0" w:color="auto"/>
            </w:tcBorders>
          </w:tcPr>
          <w:p w14:paraId="059B9FA2" w14:textId="77777777" w:rsidR="00B72890" w:rsidRPr="008B4C71" w:rsidRDefault="00B72890">
            <w:pPr>
              <w:pStyle w:val="NormalparagraphGN"/>
              <w:rPr>
                <w:sz w:val="32"/>
                <w:szCs w:val="32"/>
              </w:rPr>
            </w:pPr>
          </w:p>
        </w:tc>
        <w:tc>
          <w:tcPr>
            <w:tcW w:w="1001" w:type="dxa"/>
            <w:tcBorders>
              <w:left w:val="single" w:sz="6" w:space="0" w:color="auto"/>
            </w:tcBorders>
          </w:tcPr>
          <w:p w14:paraId="3E47AC3E" w14:textId="77777777" w:rsidR="00B72890" w:rsidRPr="008B4C71" w:rsidRDefault="00B72890">
            <w:pPr>
              <w:pStyle w:val="NormalparagraphGN"/>
              <w:rPr>
                <w:sz w:val="32"/>
                <w:szCs w:val="32"/>
              </w:rPr>
            </w:pPr>
          </w:p>
        </w:tc>
      </w:tr>
      <w:tr w:rsidR="00B72890" w:rsidRPr="00FB5173" w14:paraId="15698A4D" w14:textId="77777777">
        <w:trPr>
          <w:cantSplit/>
          <w:trHeight w:val="70"/>
        </w:trPr>
        <w:tc>
          <w:tcPr>
            <w:tcW w:w="6948" w:type="dxa"/>
          </w:tcPr>
          <w:p w14:paraId="61E4E8C1" w14:textId="6059FA3D" w:rsidR="00245DED" w:rsidRPr="008B4C71" w:rsidRDefault="00245DED">
            <w:pPr>
              <w:pStyle w:val="NormalparagraphGN"/>
              <w:numPr>
                <w:ilvl w:val="0"/>
                <w:numId w:val="24"/>
              </w:numPr>
            </w:pPr>
            <w:r w:rsidRPr="008B4C71">
              <w:rPr>
                <w:b/>
              </w:rPr>
              <w:lastRenderedPageBreak/>
              <w:t>Transparency register.</w:t>
            </w:r>
            <w:r w:rsidRPr="00404F05">
              <w:t xml:space="preserve"> </w:t>
            </w:r>
            <w:r w:rsidRPr="00404F05">
              <w:rPr>
                <w:lang w:val="en-CA"/>
              </w:rPr>
              <w:t xml:space="preserve">The operative provisions of the </w:t>
            </w:r>
            <w:r w:rsidRPr="00404F05">
              <w:rPr>
                <w:i/>
                <w:lang w:val="en-CA"/>
              </w:rPr>
              <w:t>Business Corporations Amendment Act, 2019</w:t>
            </w:r>
            <w:r w:rsidRPr="00404F05">
              <w:rPr>
                <w:i/>
                <w:iCs/>
                <w:lang w:val="en-CA"/>
              </w:rPr>
              <w:t xml:space="preserve">, </w:t>
            </w:r>
            <w:r w:rsidRPr="00404F05">
              <w:rPr>
                <w:lang w:val="en-CA"/>
              </w:rPr>
              <w:t xml:space="preserve">S.B.C. 2019, c. 15 came into force on October 1, 2020 (B.C. Reg. 77/2020). The Act requires private companies incorporated under the </w:t>
            </w:r>
            <w:r w:rsidRPr="00404F05">
              <w:rPr>
                <w:i/>
                <w:lang w:val="en-CA"/>
              </w:rPr>
              <w:t>Business Corporations Act</w:t>
            </w:r>
            <w:r w:rsidRPr="00404F05">
              <w:rPr>
                <w:lang w:val="en-CA"/>
              </w:rPr>
              <w:t>, S.B.C. 2002, c. 57 (the “</w:t>
            </w:r>
            <w:r w:rsidRPr="00404F05">
              <w:rPr>
                <w:i/>
                <w:lang w:val="en-CA"/>
              </w:rPr>
              <w:t>BCA</w:t>
            </w:r>
            <w:r w:rsidRPr="00404F05">
              <w:rPr>
                <w:lang w:val="en-CA"/>
              </w:rPr>
              <w:t>”) to create and maintain a “transparency register” of information about “significant individuals”. Individuals will be considered “significant individuals” if: they directly or indirectly own, or indirectly control 25% or more of the issued shares of the company, or shares that carry 25% or more of the voting rights of the company</w:t>
            </w:r>
            <w:r w:rsidR="00AE5BD1">
              <w:rPr>
                <w:lang w:val="en-CA"/>
              </w:rPr>
              <w:t>,</w:t>
            </w:r>
            <w:r w:rsidRPr="00404F05">
              <w:rPr>
                <w:lang w:val="en-CA"/>
              </w:rPr>
              <w:t xml:space="preserve"> or they are able to exercise rights or influence, directly or indirectly, that would result in the election, appointment</w:t>
            </w:r>
            <w:r w:rsidR="00206C99">
              <w:rPr>
                <w:lang w:val="en-CA"/>
              </w:rPr>
              <w:t>,</w:t>
            </w:r>
            <w:r w:rsidRPr="00404F05">
              <w:rPr>
                <w:lang w:val="en-CA"/>
              </w:rPr>
              <w:t xml:space="preserve"> or removal of the majority of the company’s directors. If two or more individuals meet the above criteria by jointly holding the prescribed interest or right, then each will be deemed a “significant individual”. Similarly, two or more individuals who are acting in concert, or who meet the definition of “associate” in s. 192(1) of the </w:t>
            </w:r>
            <w:r w:rsidRPr="00404F05">
              <w:rPr>
                <w:i/>
                <w:lang w:val="en-CA"/>
              </w:rPr>
              <w:t>BCA</w:t>
            </w:r>
            <w:r w:rsidRPr="00404F05">
              <w:rPr>
                <w:lang w:val="en-CA"/>
              </w:rPr>
              <w:t>,</w:t>
            </w:r>
            <w:r w:rsidRPr="00404F05">
              <w:rPr>
                <w:i/>
                <w:lang w:val="en-CA"/>
              </w:rPr>
              <w:t xml:space="preserve"> </w:t>
            </w:r>
            <w:r w:rsidRPr="00404F05">
              <w:rPr>
                <w:lang w:val="en-CA"/>
              </w:rPr>
              <w:t>must add their interests together. If the group meets the above criteria, the company must list every member of the group as significant individuals in its transparency register. The transparency register must contain the following information for each significant individual: full name, date of birth, and last known address; whether the individual is a Canadian citizen or permanent resident of Canada and, if not, a list of every country of which the individual is a citizen; whether the individual is a resident of Canada for tax purposes; the date on which the individual became or ceased to be a significant individual; a description of how the individual meets the definition of a significant individual; and any further information that may be required by regulation. Access more information</w:t>
            </w:r>
            <w:r w:rsidR="009A28B2">
              <w:t xml:space="preserve">at </w:t>
            </w:r>
            <w:hyperlink r:id="rId10" w:history="1">
              <w:r w:rsidR="009A28B2" w:rsidRPr="00DE7129">
                <w:rPr>
                  <w:rStyle w:val="Hyperlink"/>
                </w:rPr>
                <w:t>www2.gov.bc.ca/gov/content/employment-business/business/bc-companies/transparency-register</w:t>
              </w:r>
            </w:hyperlink>
            <w:r w:rsidRPr="00404F05">
              <w:rPr>
                <w:lang w:val="en-CA"/>
              </w:rPr>
              <w:t>.</w:t>
            </w:r>
          </w:p>
          <w:p w14:paraId="25C22003" w14:textId="77777777" w:rsidR="00B72890" w:rsidRPr="00404F05" w:rsidRDefault="001B1506">
            <w:pPr>
              <w:pStyle w:val="NormalparagraphGN"/>
              <w:numPr>
                <w:ilvl w:val="0"/>
                <w:numId w:val="24"/>
              </w:numPr>
            </w:pPr>
            <w:r w:rsidRPr="00404F05">
              <w:rPr>
                <w:b/>
              </w:rPr>
              <w:t>Exemptions on additional property transfer tax on foreign entities.</w:t>
            </w:r>
            <w:r w:rsidRPr="00404F05">
              <w:t xml:space="preserve"> The Property Transfer Tax Regulation, B.C. Reg. 74/88, provides for relief, in certain circumstances, from the additional 20% property transfer tax on transfers of residential property in the Metro Vancouver Regional District, Capital Regional District, Regional District of Central Okanagan, Fraser Valley Regional District, and Regional District of Nanaimo to “foreign entities”. Effective June 1, 2020, see s. 22 for the “Exemption for general partner or bare trustee of limited partnership” and s. 23 regarding applications for refunds for general partners or bare trustees ‎of limited partnerships in respect of a taxable transaction where the application ‎for a s. 22 exemption was missed. A s. 22 application may be made within six ‎years after the relevant registration date‎. See also ss. 17.1 to 20 for the exemption for a foreign national who has confirmation as a worker under the Provincial Nominee Program and s. 21 regarding the refund of the extra tax paid by a transferee who became a Canadian citizen or permanent resident within one year of the registration date.</w:t>
            </w:r>
          </w:p>
        </w:tc>
        <w:tc>
          <w:tcPr>
            <w:tcW w:w="450" w:type="dxa"/>
            <w:tcBorders>
              <w:left w:val="single" w:sz="6" w:space="0" w:color="auto"/>
            </w:tcBorders>
          </w:tcPr>
          <w:p w14:paraId="2352DC26" w14:textId="77777777" w:rsidR="00B72890" w:rsidRPr="008B4C71" w:rsidRDefault="00B72890">
            <w:pPr>
              <w:pStyle w:val="NormalparagraphGN"/>
              <w:rPr>
                <w:sz w:val="32"/>
                <w:szCs w:val="32"/>
              </w:rPr>
            </w:pPr>
          </w:p>
        </w:tc>
        <w:tc>
          <w:tcPr>
            <w:tcW w:w="450" w:type="dxa"/>
            <w:tcBorders>
              <w:left w:val="single" w:sz="6" w:space="0" w:color="auto"/>
            </w:tcBorders>
          </w:tcPr>
          <w:p w14:paraId="3CD4551A" w14:textId="77777777" w:rsidR="00B72890" w:rsidRPr="008B4C71" w:rsidRDefault="00B72890">
            <w:pPr>
              <w:pStyle w:val="NormalparagraphGN"/>
              <w:rPr>
                <w:sz w:val="32"/>
                <w:szCs w:val="32"/>
              </w:rPr>
            </w:pPr>
          </w:p>
        </w:tc>
        <w:tc>
          <w:tcPr>
            <w:tcW w:w="450" w:type="dxa"/>
            <w:tcBorders>
              <w:left w:val="single" w:sz="6" w:space="0" w:color="auto"/>
            </w:tcBorders>
          </w:tcPr>
          <w:p w14:paraId="38D1A23C" w14:textId="77777777" w:rsidR="00B72890" w:rsidRPr="008B4C71" w:rsidRDefault="00B72890">
            <w:pPr>
              <w:pStyle w:val="NormalparagraphGN"/>
              <w:rPr>
                <w:sz w:val="32"/>
                <w:szCs w:val="32"/>
              </w:rPr>
            </w:pPr>
          </w:p>
        </w:tc>
        <w:tc>
          <w:tcPr>
            <w:tcW w:w="1001" w:type="dxa"/>
            <w:tcBorders>
              <w:left w:val="single" w:sz="6" w:space="0" w:color="auto"/>
            </w:tcBorders>
          </w:tcPr>
          <w:p w14:paraId="5D499ED4" w14:textId="77777777" w:rsidR="00B72890" w:rsidRPr="008B4C71" w:rsidRDefault="00B72890">
            <w:pPr>
              <w:pStyle w:val="NormalparagraphGN"/>
              <w:rPr>
                <w:sz w:val="32"/>
                <w:szCs w:val="32"/>
              </w:rPr>
            </w:pPr>
          </w:p>
        </w:tc>
        <w:tc>
          <w:tcPr>
            <w:tcW w:w="1001" w:type="dxa"/>
            <w:tcBorders>
              <w:left w:val="single" w:sz="6" w:space="0" w:color="auto"/>
            </w:tcBorders>
          </w:tcPr>
          <w:p w14:paraId="6C5F0C58" w14:textId="77777777" w:rsidR="00B72890" w:rsidRPr="008B4C71" w:rsidRDefault="00B72890">
            <w:pPr>
              <w:pStyle w:val="NormalparagraphGN"/>
              <w:rPr>
                <w:sz w:val="32"/>
                <w:szCs w:val="32"/>
              </w:rPr>
            </w:pPr>
          </w:p>
        </w:tc>
      </w:tr>
      <w:tr w:rsidR="008D4DC4" w:rsidRPr="00FB5173" w14:paraId="50F32DAA" w14:textId="77777777" w:rsidTr="008D4DC4">
        <w:trPr>
          <w:cantSplit/>
          <w:trHeight w:val="3771"/>
        </w:trPr>
        <w:tc>
          <w:tcPr>
            <w:tcW w:w="6948" w:type="dxa"/>
          </w:tcPr>
          <w:p w14:paraId="2334898A" w14:textId="77777777" w:rsidR="008D4DC4" w:rsidRPr="00404F05" w:rsidRDefault="008D4DC4" w:rsidP="008D4DC4">
            <w:pPr>
              <w:pStyle w:val="NormalparagraphGN"/>
              <w:rPr>
                <w:b/>
              </w:rPr>
            </w:pPr>
            <w:r w:rsidRPr="00404F05">
              <w:rPr>
                <w:b/>
              </w:rPr>
              <w:t>Of note:</w:t>
            </w:r>
          </w:p>
          <w:p w14:paraId="318D4375" w14:textId="77777777" w:rsidR="008D4DC4" w:rsidRPr="00404F05" w:rsidRDefault="008D4DC4" w:rsidP="008D4DC4">
            <w:pPr>
              <w:pStyle w:val="NormalparagraphGN"/>
              <w:numPr>
                <w:ilvl w:val="0"/>
                <w:numId w:val="24"/>
              </w:numPr>
              <w:rPr>
                <w:b/>
              </w:rPr>
            </w:pPr>
            <w:r w:rsidRPr="00404F05">
              <w:rPr>
                <w:b/>
              </w:rPr>
              <w:t xml:space="preserve">Aboriginal law. </w:t>
            </w:r>
            <w:r w:rsidRPr="00404F05">
              <w:rPr>
                <w:lang w:val="en-CA"/>
              </w:rPr>
              <w:t xml:space="preserve">Special considerations apply to First Nations lands. </w:t>
            </w:r>
            <w:bookmarkStart w:id="0" w:name="_Hlk146262862"/>
            <w:r w:rsidRPr="00404F05">
              <w:rPr>
                <w:lang w:val="en-CA"/>
              </w:rPr>
              <w:t xml:space="preserve">The Framework Agreement on First Nation Land Management (the “Framework Agreement”) was ratified as the central authority by the </w:t>
            </w:r>
            <w:r w:rsidRPr="00404F05">
              <w:rPr>
                <w:i/>
                <w:lang w:val="en-CA"/>
              </w:rPr>
              <w:t>Framework Agreement on First Nation Land Management Act</w:t>
            </w:r>
            <w:r w:rsidRPr="00404F05">
              <w:rPr>
                <w:lang w:val="en-CA"/>
              </w:rPr>
              <w:t xml:space="preserve">, S.C. 2022, c. 19, s. 121, which came into force on December 15, 2022. The Framework Agreement recognizes First Nations’ inherent right to govern their lands, and signatory First Nations assume the administration and law-making authority over their lands. </w:t>
            </w:r>
            <w:r w:rsidRPr="00404F05">
              <w:rPr>
                <w:bCs/>
                <w:lang w:val="en-CA"/>
              </w:rPr>
              <w:t>If a lease, mortgage, land conveyance, or transfer of leasehold interest involves First Nation lands,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1" w:history="1">
              <w:r w:rsidRPr="00404F05">
                <w:rPr>
                  <w:rStyle w:val="Hyperlink"/>
                  <w:bCs/>
                  <w:lang w:val="en-CA"/>
                </w:rPr>
                <w:t>www.cle.bc.ca</w:t>
              </w:r>
            </w:hyperlink>
            <w:r w:rsidRPr="00404F05">
              <w:rPr>
                <w:bCs/>
                <w:lang w:val="en-CA"/>
              </w:rPr>
              <w:t>) and in other CLEBC publications.</w:t>
            </w:r>
            <w:bookmarkEnd w:id="0"/>
          </w:p>
          <w:p w14:paraId="38CC0F5C" w14:textId="77777777" w:rsidR="008D4DC4" w:rsidRPr="008B4C71" w:rsidRDefault="008D4DC4" w:rsidP="008D4DC4">
            <w:pPr>
              <w:pStyle w:val="NormalparagraphGN"/>
              <w:rPr>
                <w:b/>
              </w:rPr>
            </w:pPr>
          </w:p>
        </w:tc>
        <w:tc>
          <w:tcPr>
            <w:tcW w:w="450" w:type="dxa"/>
            <w:tcBorders>
              <w:left w:val="single" w:sz="6" w:space="0" w:color="auto"/>
            </w:tcBorders>
          </w:tcPr>
          <w:p w14:paraId="077618F6" w14:textId="77777777" w:rsidR="008D4DC4" w:rsidRPr="008B4C71" w:rsidRDefault="008D4DC4">
            <w:pPr>
              <w:pStyle w:val="NormalparagraphGN"/>
              <w:rPr>
                <w:sz w:val="32"/>
                <w:szCs w:val="32"/>
              </w:rPr>
            </w:pPr>
          </w:p>
        </w:tc>
        <w:tc>
          <w:tcPr>
            <w:tcW w:w="450" w:type="dxa"/>
            <w:tcBorders>
              <w:left w:val="single" w:sz="6" w:space="0" w:color="auto"/>
            </w:tcBorders>
          </w:tcPr>
          <w:p w14:paraId="58A8555B" w14:textId="77777777" w:rsidR="008D4DC4" w:rsidRPr="008B4C71" w:rsidRDefault="008D4DC4">
            <w:pPr>
              <w:pStyle w:val="NormalparagraphGN"/>
              <w:rPr>
                <w:sz w:val="32"/>
                <w:szCs w:val="32"/>
              </w:rPr>
            </w:pPr>
          </w:p>
        </w:tc>
        <w:tc>
          <w:tcPr>
            <w:tcW w:w="450" w:type="dxa"/>
            <w:tcBorders>
              <w:left w:val="single" w:sz="6" w:space="0" w:color="auto"/>
            </w:tcBorders>
          </w:tcPr>
          <w:p w14:paraId="4CDF628B" w14:textId="77777777" w:rsidR="008D4DC4" w:rsidRPr="008B4C71" w:rsidRDefault="008D4DC4">
            <w:pPr>
              <w:pStyle w:val="NormalparagraphGN"/>
              <w:rPr>
                <w:sz w:val="32"/>
                <w:szCs w:val="32"/>
              </w:rPr>
            </w:pPr>
          </w:p>
        </w:tc>
        <w:tc>
          <w:tcPr>
            <w:tcW w:w="1001" w:type="dxa"/>
            <w:tcBorders>
              <w:left w:val="single" w:sz="6" w:space="0" w:color="auto"/>
            </w:tcBorders>
          </w:tcPr>
          <w:p w14:paraId="30D44A36" w14:textId="77777777" w:rsidR="008D4DC4" w:rsidRPr="008B4C71" w:rsidRDefault="008D4DC4">
            <w:pPr>
              <w:pStyle w:val="NormalparagraphGN"/>
              <w:rPr>
                <w:sz w:val="32"/>
                <w:szCs w:val="32"/>
              </w:rPr>
            </w:pPr>
          </w:p>
        </w:tc>
        <w:tc>
          <w:tcPr>
            <w:tcW w:w="1001" w:type="dxa"/>
            <w:tcBorders>
              <w:left w:val="single" w:sz="6" w:space="0" w:color="auto"/>
            </w:tcBorders>
          </w:tcPr>
          <w:p w14:paraId="5B2FB9AE" w14:textId="77777777" w:rsidR="008D4DC4" w:rsidRPr="008B4C71" w:rsidRDefault="008D4DC4">
            <w:pPr>
              <w:pStyle w:val="NormalparagraphGN"/>
              <w:rPr>
                <w:sz w:val="32"/>
                <w:szCs w:val="32"/>
              </w:rPr>
            </w:pPr>
          </w:p>
        </w:tc>
      </w:tr>
      <w:tr w:rsidR="00B72890" w:rsidRPr="00FB5173" w14:paraId="6518BE71" w14:textId="77777777">
        <w:trPr>
          <w:cantSplit/>
          <w:trHeight w:val="4608"/>
        </w:trPr>
        <w:tc>
          <w:tcPr>
            <w:tcW w:w="6948" w:type="dxa"/>
          </w:tcPr>
          <w:p w14:paraId="591C572C" w14:textId="43E3745F" w:rsidR="00B72890" w:rsidRPr="00404F05" w:rsidRDefault="001B1506">
            <w:pPr>
              <w:pStyle w:val="NormalparagraphGN"/>
              <w:numPr>
                <w:ilvl w:val="0"/>
                <w:numId w:val="24"/>
              </w:numPr>
              <w:rPr>
                <w:b/>
              </w:rPr>
            </w:pPr>
            <w:r w:rsidRPr="00404F05">
              <w:rPr>
                <w:b/>
              </w:rPr>
              <w:lastRenderedPageBreak/>
              <w:t>Money laundering—companies, trusts, and other entities</w:t>
            </w:r>
            <w:r w:rsidRPr="00404F05">
              <w:t xml:space="preserve">. The prevalence of money laundering in British Columbia (particularly in the area of real estate) continues to be a concern. The provincial government established the Commission of Inquiry into Money Laundering in British Columbia, which was led by Austin Cullen J. as the commissioner. The Cullen Commission’s final report was publicly released on June 15, 2022.  For more information on the Cullen Commission, and the link to the full report, see law society notable updates list </w:t>
            </w:r>
            <w:r w:rsidR="00D72DC6">
              <w:br/>
            </w:r>
            <w:r w:rsidRPr="00404F05">
              <w:t>(A-3).</w:t>
            </w:r>
            <w:r w:rsidRPr="00404F05">
              <w:rPr>
                <w:b/>
              </w:rPr>
              <w:t xml:space="preserve"> </w:t>
            </w:r>
          </w:p>
          <w:p w14:paraId="2F490ACD" w14:textId="76F54870" w:rsidR="00B72890" w:rsidRPr="00404F05" w:rsidRDefault="001B1506" w:rsidP="00D72DC6">
            <w:pPr>
              <w:pStyle w:val="NormalparagraphGN"/>
              <w:spacing w:before="120"/>
              <w:ind w:left="349"/>
            </w:pPr>
            <w:r w:rsidRPr="00404F05">
              <w:t>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Pr="00404F05">
              <w:rPr>
                <w:i/>
              </w:rPr>
              <w:t>BC Code</w:t>
            </w:r>
            <w:r w:rsidRPr="00404F05">
              <w:t xml:space="preserve"> rules 3.2-7 and 3.2-8 and</w:t>
            </w:r>
            <w:r w:rsidRPr="00404F05">
              <w:br/>
            </w:r>
            <w:r w:rsidR="00D72DC6" w:rsidRPr="00404F05">
              <w:t xml:space="preserve">Law Society Rules 3-103(4), 3-109, and 3-110). See the resources on the Law Society’s Client ID &amp; Verification resources webpage such as the Source of Money FAQs, Risk Assessment Case Studies for the Legal Profession in the context of real estate, trusts, and companies, and the Red Flags Quick Reference Guide. Also see the Risk Advisories for the Legal Profession regarding real estate, shell corporations, private lending, trusts, and litigation; </w:t>
            </w:r>
            <w:hyperlink r:id="rId12" w:history="1">
              <w:r w:rsidR="00DE7129">
                <w:rPr>
                  <w:rStyle w:val="Hyperlink"/>
                  <w:color w:val="auto"/>
                  <w:u w:val="none"/>
                </w:rPr>
                <w:t>https://www.lawsociety.bc.ca/Website/media/Shared/docs/bulletin/BB_2021-02-Summer.pdf?ext=.pdf</w:t>
              </w:r>
            </w:hyperlink>
            <w:r w:rsidR="00DE7129">
              <w:rPr>
                <w:rStyle w:val="Hyperlink"/>
                <w:color w:val="auto"/>
                <w:u w:val="none"/>
              </w:rPr>
              <w:t xml:space="preserve"> (PDF)</w:t>
            </w:r>
            <w:r w:rsidR="00D72DC6" w:rsidRPr="00DE7129">
              <w:t xml:space="preserve">; </w:t>
            </w:r>
            <w:r w:rsidR="00D72DC6" w:rsidRPr="00404F05">
              <w:t xml:space="preserve">and the Discipline Advisories including country/geographic risk and private lending. Lawyers may contact a Law Society practice advisor at </w:t>
            </w:r>
            <w:hyperlink r:id="rId13" w:history="1">
              <w:r w:rsidR="00D72DC6" w:rsidRPr="00404F05">
                <w:rPr>
                  <w:rStyle w:val="Hyperlink"/>
                </w:rPr>
                <w:t>practiceadvice@lsbc.org</w:t>
              </w:r>
            </w:hyperlink>
            <w:r w:rsidR="00D72DC6" w:rsidRPr="00404F05">
              <w:t xml:space="preserve"> for a consultation about the applicable </w:t>
            </w:r>
            <w:r w:rsidR="00D72DC6" w:rsidRPr="00404F05">
              <w:rPr>
                <w:i/>
              </w:rPr>
              <w:t xml:space="preserve">BC Code </w:t>
            </w:r>
            <w:r w:rsidR="00D72DC6" w:rsidRPr="00404F05">
              <w:t>rules and Law Society Rules and obtain guidance.</w:t>
            </w:r>
          </w:p>
        </w:tc>
        <w:tc>
          <w:tcPr>
            <w:tcW w:w="450" w:type="dxa"/>
            <w:tcBorders>
              <w:left w:val="single" w:sz="6" w:space="0" w:color="auto"/>
            </w:tcBorders>
          </w:tcPr>
          <w:p w14:paraId="20302FD1" w14:textId="77777777" w:rsidR="00B72890" w:rsidRPr="008B4C71" w:rsidRDefault="00B72890">
            <w:pPr>
              <w:pStyle w:val="NormalparagraphGN"/>
              <w:ind w:left="360"/>
              <w:rPr>
                <w:b/>
                <w:sz w:val="32"/>
                <w:szCs w:val="32"/>
              </w:rPr>
            </w:pPr>
          </w:p>
        </w:tc>
        <w:tc>
          <w:tcPr>
            <w:tcW w:w="450" w:type="dxa"/>
            <w:tcBorders>
              <w:left w:val="single" w:sz="6" w:space="0" w:color="auto"/>
            </w:tcBorders>
          </w:tcPr>
          <w:p w14:paraId="73A73A7E" w14:textId="77777777" w:rsidR="00B72890" w:rsidRPr="008B4C71" w:rsidRDefault="00B72890">
            <w:pPr>
              <w:pStyle w:val="NormalparagraphGN"/>
              <w:ind w:left="360"/>
              <w:rPr>
                <w:b/>
                <w:sz w:val="32"/>
                <w:szCs w:val="32"/>
              </w:rPr>
            </w:pPr>
          </w:p>
        </w:tc>
        <w:tc>
          <w:tcPr>
            <w:tcW w:w="450" w:type="dxa"/>
            <w:tcBorders>
              <w:left w:val="single" w:sz="6" w:space="0" w:color="auto"/>
            </w:tcBorders>
          </w:tcPr>
          <w:p w14:paraId="717BDE3E" w14:textId="77777777" w:rsidR="00B72890" w:rsidRPr="008B4C71" w:rsidRDefault="00B72890">
            <w:pPr>
              <w:pStyle w:val="NormalparagraphGN"/>
              <w:rPr>
                <w:b/>
                <w:sz w:val="32"/>
                <w:szCs w:val="32"/>
              </w:rPr>
            </w:pPr>
          </w:p>
        </w:tc>
        <w:tc>
          <w:tcPr>
            <w:tcW w:w="1001" w:type="dxa"/>
            <w:tcBorders>
              <w:left w:val="single" w:sz="6" w:space="0" w:color="auto"/>
            </w:tcBorders>
          </w:tcPr>
          <w:p w14:paraId="3809F513" w14:textId="77777777" w:rsidR="00B72890" w:rsidRPr="008B4C71" w:rsidRDefault="00B72890">
            <w:pPr>
              <w:pStyle w:val="NormalparagraphGN"/>
              <w:rPr>
                <w:b/>
                <w:sz w:val="32"/>
                <w:szCs w:val="32"/>
              </w:rPr>
            </w:pPr>
          </w:p>
        </w:tc>
        <w:tc>
          <w:tcPr>
            <w:tcW w:w="1001" w:type="dxa"/>
            <w:tcBorders>
              <w:left w:val="single" w:sz="6" w:space="0" w:color="auto"/>
            </w:tcBorders>
          </w:tcPr>
          <w:p w14:paraId="710B99D0" w14:textId="77777777" w:rsidR="00B72890" w:rsidRPr="008B4C71" w:rsidRDefault="00B72890">
            <w:pPr>
              <w:pStyle w:val="NormalparagraphGN"/>
              <w:ind w:left="360"/>
              <w:rPr>
                <w:b/>
                <w:sz w:val="32"/>
                <w:szCs w:val="32"/>
              </w:rPr>
            </w:pPr>
          </w:p>
        </w:tc>
      </w:tr>
      <w:tr w:rsidR="00B72890" w:rsidRPr="00FB5173" w14:paraId="0B98DB46" w14:textId="77777777">
        <w:trPr>
          <w:cantSplit/>
          <w:trHeight w:val="2457"/>
        </w:trPr>
        <w:tc>
          <w:tcPr>
            <w:tcW w:w="6948" w:type="dxa"/>
          </w:tcPr>
          <w:p w14:paraId="28464391" w14:textId="5E03797A" w:rsidR="00B72890" w:rsidRPr="00404F05" w:rsidRDefault="007247F3">
            <w:pPr>
              <w:pStyle w:val="NormalparagraphGN"/>
              <w:numPr>
                <w:ilvl w:val="0"/>
                <w:numId w:val="21"/>
              </w:numPr>
            </w:pPr>
            <w:r w:rsidRPr="00404F05">
              <w:rPr>
                <w:b/>
              </w:rPr>
              <w:t xml:space="preserve">COVID-19 pandemic. </w:t>
            </w:r>
            <w:r w:rsidRPr="008B4C71">
              <w:rPr>
                <w:lang w:val="en-CA"/>
              </w:rPr>
              <w:t>Counsel should keep apprised of developments related to COVID-19 (and response measures) that may affect transactions. Note that:</w:t>
            </w:r>
          </w:p>
          <w:p w14:paraId="2A9ACE25" w14:textId="2E4E5A6D" w:rsidR="007247F3" w:rsidRPr="00404F05" w:rsidRDefault="007247F3" w:rsidP="008D4DC4">
            <w:pPr>
              <w:pStyle w:val="NormalparagraphGN"/>
              <w:numPr>
                <w:ilvl w:val="0"/>
                <w:numId w:val="31"/>
              </w:numPr>
              <w:ind w:left="787" w:hanging="357"/>
            </w:pPr>
            <w:r w:rsidRPr="00404F05">
              <w:t xml:space="preserve">The Land Title Survey Authority will retire temporary COVID-19 practice changes under the </w:t>
            </w:r>
            <w:r w:rsidRPr="00404F05">
              <w:rPr>
                <w:i/>
              </w:rPr>
              <w:t>Land Title Act</w:t>
            </w:r>
            <w:r w:rsidRPr="00404F05">
              <w:t>, R</w:t>
            </w:r>
            <w:r w:rsidR="00474891">
              <w:t>.</w:t>
            </w:r>
            <w:r w:rsidRPr="00404F05">
              <w:t>S</w:t>
            </w:r>
            <w:r w:rsidR="00474891">
              <w:t>.</w:t>
            </w:r>
            <w:r w:rsidRPr="00404F05">
              <w:t>B</w:t>
            </w:r>
            <w:r w:rsidR="00474891">
              <w:t>.</w:t>
            </w:r>
            <w:r w:rsidRPr="00404F05">
              <w:t>C</w:t>
            </w:r>
            <w:r w:rsidR="00474891">
              <w:t>.</w:t>
            </w:r>
            <w:r w:rsidRPr="00404F05">
              <w:t xml:space="preserve"> 1996, c. 250 on September 30, 2023</w:t>
            </w:r>
            <w:r w:rsidR="00474891">
              <w:t>,</w:t>
            </w:r>
            <w:r w:rsidRPr="00404F05">
              <w:t xml:space="preserve"> which include remote witnessing of affidavits for use in land title applications. Further information may be accessed </w:t>
            </w:r>
            <w:r w:rsidR="00474891">
              <w:t xml:space="preserve">at </w:t>
            </w:r>
            <w:hyperlink r:id="rId14" w:history="1">
              <w:r w:rsidR="00474891" w:rsidRPr="00DE7129">
                <w:rPr>
                  <w:rStyle w:val="Hyperlink"/>
                  <w:lang w:val="en-CA"/>
                </w:rPr>
                <w:t>https://ltsa.ca/covid-19-resources/</w:t>
              </w:r>
            </w:hyperlink>
            <w:r w:rsidRPr="00404F05">
              <w:t xml:space="preserve">. </w:t>
            </w:r>
            <w:r w:rsidRPr="00404F05" w:rsidDel="00312FAF">
              <w:t xml:space="preserve"> </w:t>
            </w:r>
          </w:p>
          <w:p w14:paraId="0FE32B53" w14:textId="4101DC07" w:rsidR="007247F3" w:rsidRPr="00404F05" w:rsidRDefault="007247F3" w:rsidP="008D4DC4">
            <w:pPr>
              <w:pStyle w:val="NormalparagraphGN"/>
              <w:numPr>
                <w:ilvl w:val="0"/>
                <w:numId w:val="31"/>
              </w:numPr>
              <w:ind w:left="787" w:hanging="357"/>
            </w:pPr>
            <w:r w:rsidRPr="00404F05">
              <w:t xml:space="preserve">Counsel </w:t>
            </w:r>
            <w:r w:rsidRPr="00404F05">
              <w:rPr>
                <w:bCs/>
              </w:rPr>
              <w:t>conducting due diligence searches must be mindful of the impact of the COVID-19 pandemic on the due diligence process. Response times for search requests may be delayed</w:t>
            </w:r>
            <w:r w:rsidR="002F5CE2">
              <w:rPr>
                <w:bCs/>
              </w:rPr>
              <w:t>,</w:t>
            </w:r>
            <w:r w:rsidRPr="00404F05">
              <w:rPr>
                <w:bCs/>
              </w:rPr>
              <w:t xml:space="preserve"> and accordingly, such delays should be accounted for in the due diligence timeline. Counsel should be aware that search results may not disclose certain actions, fines, levies, or administrative penalties </w:t>
            </w:r>
            <w:r w:rsidR="002C01CD">
              <w:rPr>
                <w:bCs/>
              </w:rPr>
              <w:t>that</w:t>
            </w:r>
            <w:r w:rsidRPr="00404F05">
              <w:rPr>
                <w:bCs/>
              </w:rPr>
              <w:t xml:space="preserve"> have been delayed but are otherwise permitted to be filed or issued beyond the typical limitation period.</w:t>
            </w:r>
          </w:p>
        </w:tc>
        <w:tc>
          <w:tcPr>
            <w:tcW w:w="450" w:type="dxa"/>
            <w:tcBorders>
              <w:left w:val="single" w:sz="6" w:space="0" w:color="auto"/>
            </w:tcBorders>
          </w:tcPr>
          <w:p w14:paraId="1901C661" w14:textId="77777777" w:rsidR="00B72890" w:rsidRPr="008B4C71" w:rsidRDefault="00B72890">
            <w:pPr>
              <w:pStyle w:val="unformattedtext"/>
              <w:rPr>
                <w:sz w:val="32"/>
                <w:szCs w:val="32"/>
              </w:rPr>
            </w:pPr>
          </w:p>
        </w:tc>
        <w:tc>
          <w:tcPr>
            <w:tcW w:w="450" w:type="dxa"/>
            <w:tcBorders>
              <w:left w:val="single" w:sz="6" w:space="0" w:color="auto"/>
            </w:tcBorders>
          </w:tcPr>
          <w:p w14:paraId="742425B1" w14:textId="77777777" w:rsidR="00B72890" w:rsidRPr="008B4C71" w:rsidRDefault="00B72890">
            <w:pPr>
              <w:pStyle w:val="unformattedtext"/>
              <w:rPr>
                <w:sz w:val="32"/>
                <w:szCs w:val="32"/>
              </w:rPr>
            </w:pPr>
          </w:p>
        </w:tc>
        <w:tc>
          <w:tcPr>
            <w:tcW w:w="450" w:type="dxa"/>
            <w:tcBorders>
              <w:left w:val="single" w:sz="6" w:space="0" w:color="auto"/>
            </w:tcBorders>
          </w:tcPr>
          <w:p w14:paraId="29C6E8D2" w14:textId="77777777" w:rsidR="00B72890" w:rsidRPr="008B4C71" w:rsidRDefault="00B72890">
            <w:pPr>
              <w:pStyle w:val="unformattedtext"/>
              <w:rPr>
                <w:sz w:val="32"/>
                <w:szCs w:val="32"/>
              </w:rPr>
            </w:pPr>
          </w:p>
        </w:tc>
        <w:tc>
          <w:tcPr>
            <w:tcW w:w="1001" w:type="dxa"/>
            <w:tcBorders>
              <w:left w:val="single" w:sz="6" w:space="0" w:color="auto"/>
            </w:tcBorders>
          </w:tcPr>
          <w:p w14:paraId="4EDE7AF5" w14:textId="77777777" w:rsidR="00B72890" w:rsidRPr="008B4C71" w:rsidRDefault="00B72890">
            <w:pPr>
              <w:pStyle w:val="unformattedtext"/>
              <w:rPr>
                <w:sz w:val="32"/>
                <w:szCs w:val="32"/>
              </w:rPr>
            </w:pPr>
          </w:p>
        </w:tc>
        <w:tc>
          <w:tcPr>
            <w:tcW w:w="1001" w:type="dxa"/>
            <w:tcBorders>
              <w:left w:val="single" w:sz="6" w:space="0" w:color="auto"/>
            </w:tcBorders>
          </w:tcPr>
          <w:p w14:paraId="481FEB76" w14:textId="77777777" w:rsidR="00B72890" w:rsidRPr="008B4C71" w:rsidRDefault="00B72890">
            <w:pPr>
              <w:pStyle w:val="unformattedtext"/>
              <w:rPr>
                <w:sz w:val="32"/>
                <w:szCs w:val="32"/>
              </w:rPr>
            </w:pPr>
          </w:p>
        </w:tc>
      </w:tr>
      <w:tr w:rsidR="00B72890" w:rsidRPr="00FB5173" w14:paraId="32ABCB36" w14:textId="77777777">
        <w:trPr>
          <w:cantSplit/>
          <w:trHeight w:val="846"/>
        </w:trPr>
        <w:tc>
          <w:tcPr>
            <w:tcW w:w="6948" w:type="dxa"/>
          </w:tcPr>
          <w:p w14:paraId="5C477919" w14:textId="77777777" w:rsidR="00B72890" w:rsidRPr="00404F05" w:rsidRDefault="001B1506">
            <w:pPr>
              <w:pStyle w:val="NormalparagraphGN"/>
              <w:widowControl w:val="0"/>
              <w:numPr>
                <w:ilvl w:val="0"/>
                <w:numId w:val="11"/>
              </w:numPr>
              <w:spacing w:before="60"/>
              <w:rPr>
                <w:b/>
                <w:bCs/>
              </w:rPr>
            </w:pPr>
            <w:r w:rsidRPr="00404F05">
              <w:rPr>
                <w:b/>
                <w:bCs/>
              </w:rPr>
              <w:t>Additional resources.</w:t>
            </w:r>
            <w:r w:rsidRPr="00404F05">
              <w:t xml:space="preserve"> For detailed information about commercial lease procedures, including various precedent leases and commentary, see </w:t>
            </w:r>
            <w:r w:rsidRPr="00404F05">
              <w:rPr>
                <w:rStyle w:val="Italics"/>
                <w:rFonts w:ascii="Times New Roman" w:hAnsi="Times New Roman"/>
              </w:rPr>
              <w:t>Commercial Leasing: Annotated Precedents</w:t>
            </w:r>
            <w:r w:rsidRPr="00404F05">
              <w:rPr>
                <w:rStyle w:val="Italics"/>
                <w:rFonts w:ascii="Times New Roman" w:hAnsi="Times New Roman"/>
                <w:i w:val="0"/>
                <w:iCs/>
              </w:rPr>
              <w:t xml:space="preserve"> (CLEBC, 1996–)</w:t>
            </w:r>
            <w:r w:rsidRPr="00404F05">
              <w:t>.</w:t>
            </w:r>
          </w:p>
        </w:tc>
        <w:tc>
          <w:tcPr>
            <w:tcW w:w="450" w:type="dxa"/>
            <w:tcBorders>
              <w:left w:val="single" w:sz="6" w:space="0" w:color="auto"/>
            </w:tcBorders>
          </w:tcPr>
          <w:p w14:paraId="3CFD956A"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6759DB79"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7D45943C"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7154B57C"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59C34145" w14:textId="77777777" w:rsidR="00B72890" w:rsidRPr="008B4C71" w:rsidRDefault="00B72890">
            <w:pPr>
              <w:pStyle w:val="unformattedtext"/>
              <w:spacing w:before="60"/>
              <w:rPr>
                <w:sz w:val="32"/>
                <w:szCs w:val="32"/>
              </w:rPr>
            </w:pPr>
          </w:p>
        </w:tc>
      </w:tr>
      <w:tr w:rsidR="00B72890" w:rsidRPr="00FB5173" w14:paraId="026AB29D" w14:textId="77777777" w:rsidTr="008D4DC4">
        <w:trPr>
          <w:cantSplit/>
          <w:trHeight w:val="2232"/>
        </w:trPr>
        <w:tc>
          <w:tcPr>
            <w:tcW w:w="6948" w:type="dxa"/>
          </w:tcPr>
          <w:p w14:paraId="1BEE9BF8" w14:textId="7FE25746" w:rsidR="00B72890" w:rsidRPr="00404F05" w:rsidRDefault="001B1506" w:rsidP="00D72DC6">
            <w:pPr>
              <w:pStyle w:val="NormalparagraphGN"/>
              <w:widowControl w:val="0"/>
              <w:numPr>
                <w:ilvl w:val="0"/>
                <w:numId w:val="11"/>
              </w:numPr>
              <w:spacing w:before="60"/>
            </w:pPr>
            <w:r w:rsidRPr="00404F05">
              <w:rPr>
                <w:b/>
                <w:bCs/>
              </w:rPr>
              <w:t xml:space="preserve">Law Society of British Columbia. </w:t>
            </w:r>
            <w:r w:rsidRPr="00404F05">
              <w:rPr>
                <w:bCs/>
              </w:rPr>
              <w:t xml:space="preserve">For changes to the Law Society Rules and other Law Society updates and issues “of note”, see </w:t>
            </w:r>
            <w:r w:rsidRPr="00404F05">
              <w:rPr>
                <w:smallCaps/>
              </w:rPr>
              <w:t>law society notable updates list</w:t>
            </w:r>
            <w:r w:rsidRPr="00404F05">
              <w:rPr>
                <w:bCs/>
              </w:rPr>
              <w:t xml:space="preserve"> (A-3).</w:t>
            </w:r>
            <w:r w:rsidRPr="00404F05">
              <w:t xml:space="preserve"> </w:t>
            </w:r>
          </w:p>
        </w:tc>
        <w:tc>
          <w:tcPr>
            <w:tcW w:w="450" w:type="dxa"/>
            <w:tcBorders>
              <w:left w:val="single" w:sz="6" w:space="0" w:color="auto"/>
            </w:tcBorders>
          </w:tcPr>
          <w:p w14:paraId="2BE239D5"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20D177D3"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1EEE8C28"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40839E57"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145E5835" w14:textId="77777777" w:rsidR="00B72890" w:rsidRPr="008B4C71" w:rsidRDefault="00B72890">
            <w:pPr>
              <w:pStyle w:val="unformattedtext"/>
              <w:spacing w:before="60"/>
              <w:rPr>
                <w:sz w:val="32"/>
                <w:szCs w:val="32"/>
              </w:rPr>
            </w:pPr>
          </w:p>
        </w:tc>
      </w:tr>
      <w:tr w:rsidR="00B72890" w:rsidRPr="00FB5173" w14:paraId="0E8DEDF0" w14:textId="77777777">
        <w:trPr>
          <w:cantSplit/>
          <w:trHeight w:val="2502"/>
        </w:trPr>
        <w:tc>
          <w:tcPr>
            <w:tcW w:w="6948" w:type="dxa"/>
          </w:tcPr>
          <w:p w14:paraId="5252DDD7" w14:textId="77777777" w:rsidR="00B72890" w:rsidRPr="00404F05" w:rsidRDefault="001B1506">
            <w:pPr>
              <w:pStyle w:val="centre"/>
            </w:pPr>
            <w:r w:rsidRPr="00404F05">
              <w:lastRenderedPageBreak/>
              <w:t>CONTENTS</w:t>
            </w:r>
          </w:p>
          <w:p w14:paraId="501572C6" w14:textId="77777777" w:rsidR="00B72890" w:rsidRPr="00404F05" w:rsidRDefault="001B1506">
            <w:pPr>
              <w:pStyle w:val="Contentslevel1GC"/>
              <w:widowControl w:val="0"/>
              <w:jc w:val="both"/>
            </w:pPr>
            <w:r w:rsidRPr="00404F05">
              <w:t>1.</w:t>
            </w:r>
            <w:r w:rsidRPr="00404F05">
              <w:tab/>
              <w:t>Initial Contact</w:t>
            </w:r>
          </w:p>
          <w:p w14:paraId="61E0F576" w14:textId="77777777" w:rsidR="00B72890" w:rsidRPr="00404F05" w:rsidRDefault="001B1506">
            <w:pPr>
              <w:pStyle w:val="Contentslevel1GC"/>
              <w:widowControl w:val="0"/>
              <w:jc w:val="both"/>
            </w:pPr>
            <w:r w:rsidRPr="00404F05">
              <w:t>2.</w:t>
            </w:r>
            <w:r w:rsidRPr="00404F05">
              <w:tab/>
              <w:t>Initial Interview</w:t>
            </w:r>
          </w:p>
          <w:p w14:paraId="0E35A06A" w14:textId="77777777" w:rsidR="00B72890" w:rsidRPr="00404F05" w:rsidRDefault="001B1506">
            <w:pPr>
              <w:pStyle w:val="Contentslevel1GC"/>
              <w:widowControl w:val="0"/>
              <w:jc w:val="both"/>
            </w:pPr>
            <w:r w:rsidRPr="00404F05">
              <w:t>3.</w:t>
            </w:r>
            <w:r w:rsidRPr="00404F05">
              <w:tab/>
              <w:t>After the Initial Interview</w:t>
            </w:r>
          </w:p>
          <w:p w14:paraId="3A57AF3E" w14:textId="77777777" w:rsidR="00B72890" w:rsidRPr="00404F05" w:rsidRDefault="001B1506">
            <w:pPr>
              <w:pStyle w:val="Contentslevel1GC"/>
              <w:widowControl w:val="0"/>
              <w:jc w:val="both"/>
            </w:pPr>
            <w:r w:rsidRPr="00404F05">
              <w:t>4.</w:t>
            </w:r>
            <w:r w:rsidRPr="00404F05">
              <w:tab/>
              <w:t>Offer or Agreement to Lease</w:t>
            </w:r>
          </w:p>
          <w:p w14:paraId="50EAA1DB" w14:textId="77777777" w:rsidR="00B72890" w:rsidRPr="00404F05" w:rsidRDefault="001B1506">
            <w:pPr>
              <w:pStyle w:val="Contentslevel1GC"/>
              <w:widowControl w:val="0"/>
              <w:jc w:val="both"/>
            </w:pPr>
            <w:r w:rsidRPr="00404F05">
              <w:t>5.</w:t>
            </w:r>
            <w:r w:rsidRPr="00404F05">
              <w:tab/>
              <w:t>Preparing the Lease</w:t>
            </w:r>
          </w:p>
          <w:p w14:paraId="54504193" w14:textId="77777777" w:rsidR="00B72890" w:rsidRPr="00404F05" w:rsidRDefault="001B1506">
            <w:pPr>
              <w:pStyle w:val="Contentslevel1GC"/>
              <w:widowControl w:val="0"/>
              <w:jc w:val="both"/>
            </w:pPr>
            <w:r w:rsidRPr="00404F05">
              <w:t>6.</w:t>
            </w:r>
            <w:r w:rsidRPr="00404F05">
              <w:tab/>
              <w:t>Concluding the Agreement</w:t>
            </w:r>
          </w:p>
          <w:p w14:paraId="25F07746" w14:textId="77777777" w:rsidR="00B72890" w:rsidRPr="00404F05" w:rsidRDefault="001B1506">
            <w:pPr>
              <w:pStyle w:val="Contentslevel1GC"/>
              <w:widowControl w:val="0"/>
              <w:jc w:val="both"/>
            </w:pPr>
            <w:r w:rsidRPr="00404F05">
              <w:t>7.</w:t>
            </w:r>
            <w:r w:rsidRPr="00404F05">
              <w:tab/>
              <w:t>Closing the File</w:t>
            </w:r>
          </w:p>
        </w:tc>
        <w:tc>
          <w:tcPr>
            <w:tcW w:w="450" w:type="dxa"/>
            <w:tcBorders>
              <w:left w:val="single" w:sz="6" w:space="0" w:color="auto"/>
            </w:tcBorders>
          </w:tcPr>
          <w:p w14:paraId="151C8E3A"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0388F9BA"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38E0FFF4"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2AC81400"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58B40E1A" w14:textId="77777777" w:rsidR="00B72890" w:rsidRPr="008B4C71" w:rsidRDefault="00B72890">
            <w:pPr>
              <w:pStyle w:val="unformattedtext"/>
              <w:spacing w:before="60"/>
              <w:rPr>
                <w:sz w:val="32"/>
                <w:szCs w:val="32"/>
              </w:rPr>
            </w:pPr>
          </w:p>
        </w:tc>
      </w:tr>
      <w:tr w:rsidR="00B72890" w:rsidRPr="00FB5173" w14:paraId="2A4B1DD6" w14:textId="77777777">
        <w:trPr>
          <w:cantSplit/>
        </w:trPr>
        <w:tc>
          <w:tcPr>
            <w:tcW w:w="6948" w:type="dxa"/>
          </w:tcPr>
          <w:p w14:paraId="75EDD8A4" w14:textId="77777777" w:rsidR="00B72890" w:rsidRPr="00404F05" w:rsidRDefault="001B1506">
            <w:pPr>
              <w:pStyle w:val="centre"/>
              <w:keepNext w:val="0"/>
              <w:keepLines w:val="0"/>
              <w:widowControl w:val="0"/>
            </w:pPr>
            <w:r w:rsidRPr="00404F05">
              <w:t>CHECKLIST</w:t>
            </w:r>
          </w:p>
        </w:tc>
        <w:tc>
          <w:tcPr>
            <w:tcW w:w="450" w:type="dxa"/>
            <w:tcBorders>
              <w:left w:val="single" w:sz="6" w:space="0" w:color="auto"/>
            </w:tcBorders>
          </w:tcPr>
          <w:p w14:paraId="409CFE38"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61D180E2"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3D4A5670"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67E2D596"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0428BF9A" w14:textId="77777777" w:rsidR="00B72890" w:rsidRPr="008B4C71" w:rsidRDefault="00B72890">
            <w:pPr>
              <w:pStyle w:val="unformattedtext"/>
              <w:spacing w:before="60"/>
              <w:rPr>
                <w:sz w:val="32"/>
                <w:szCs w:val="32"/>
              </w:rPr>
            </w:pPr>
          </w:p>
        </w:tc>
      </w:tr>
      <w:tr w:rsidR="00B72890" w:rsidRPr="00FB5173" w14:paraId="43E88142" w14:textId="77777777">
        <w:trPr>
          <w:cantSplit/>
        </w:trPr>
        <w:tc>
          <w:tcPr>
            <w:tcW w:w="6948" w:type="dxa"/>
          </w:tcPr>
          <w:p w14:paraId="1EC458A3" w14:textId="77777777" w:rsidR="00B72890" w:rsidRPr="00404F05" w:rsidRDefault="001B1506">
            <w:pPr>
              <w:pStyle w:val="NumberedheadingGH"/>
              <w:keepNext w:val="0"/>
              <w:keepLines w:val="0"/>
              <w:widowControl w:val="0"/>
              <w:jc w:val="both"/>
            </w:pPr>
            <w:r w:rsidRPr="00404F05">
              <w:t>1.</w:t>
            </w:r>
            <w:r w:rsidRPr="00404F05">
              <w:tab/>
              <w:t>INITIAL CONTACT</w:t>
            </w:r>
          </w:p>
        </w:tc>
        <w:tc>
          <w:tcPr>
            <w:tcW w:w="450" w:type="dxa"/>
            <w:tcBorders>
              <w:left w:val="single" w:sz="6" w:space="0" w:color="auto"/>
            </w:tcBorders>
          </w:tcPr>
          <w:p w14:paraId="6D891A09"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3FB8CDA5"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2FB60EE1"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7665A2B4"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341FD2D8" w14:textId="77777777" w:rsidR="00B72890" w:rsidRPr="008B4C71" w:rsidRDefault="00B72890">
            <w:pPr>
              <w:pStyle w:val="unformattedtext"/>
              <w:spacing w:before="60"/>
              <w:rPr>
                <w:sz w:val="32"/>
                <w:szCs w:val="32"/>
              </w:rPr>
            </w:pPr>
          </w:p>
        </w:tc>
      </w:tr>
      <w:tr w:rsidR="00B72890" w:rsidRPr="00FB5173" w14:paraId="5FDDC9F6" w14:textId="77777777" w:rsidTr="008D4DC4">
        <w:trPr>
          <w:cantSplit/>
          <w:trHeight w:val="243"/>
        </w:trPr>
        <w:tc>
          <w:tcPr>
            <w:tcW w:w="6948" w:type="dxa"/>
          </w:tcPr>
          <w:p w14:paraId="49B3A42E" w14:textId="77777777" w:rsidR="00B72890" w:rsidRPr="00404F05" w:rsidRDefault="001B1506" w:rsidP="008D4DC4">
            <w:pPr>
              <w:pStyle w:val="Level111G1"/>
              <w:widowControl w:val="0"/>
              <w:spacing w:before="0" w:after="0"/>
              <w:ind w:left="907" w:hanging="907"/>
            </w:pPr>
            <w:r w:rsidRPr="00404F05">
              <w:tab/>
              <w:t>1.1</w:t>
            </w:r>
            <w:r w:rsidRPr="00404F05">
              <w:tab/>
              <w:t>Arrange the initial interview.</w:t>
            </w:r>
          </w:p>
        </w:tc>
        <w:tc>
          <w:tcPr>
            <w:tcW w:w="450" w:type="dxa"/>
            <w:tcBorders>
              <w:left w:val="single" w:sz="6" w:space="0" w:color="auto"/>
            </w:tcBorders>
          </w:tcPr>
          <w:p w14:paraId="0BAE656F" w14:textId="77777777" w:rsidR="00B72890" w:rsidRPr="008B4C71" w:rsidRDefault="00B72890" w:rsidP="008D4DC4">
            <w:pPr>
              <w:pStyle w:val="Level111G1"/>
              <w:spacing w:before="0" w:after="0"/>
              <w:ind w:left="907" w:hanging="907"/>
              <w:rPr>
                <w:sz w:val="32"/>
                <w:szCs w:val="32"/>
              </w:rPr>
            </w:pPr>
          </w:p>
        </w:tc>
        <w:tc>
          <w:tcPr>
            <w:tcW w:w="450" w:type="dxa"/>
            <w:tcBorders>
              <w:left w:val="single" w:sz="6" w:space="0" w:color="auto"/>
            </w:tcBorders>
          </w:tcPr>
          <w:p w14:paraId="3C761C4E" w14:textId="77777777" w:rsidR="00B72890" w:rsidRPr="008B4C71" w:rsidRDefault="00B72890" w:rsidP="008D4DC4">
            <w:pPr>
              <w:pStyle w:val="Level111G1"/>
              <w:spacing w:before="0" w:after="0"/>
              <w:ind w:left="907" w:hanging="907"/>
              <w:rPr>
                <w:sz w:val="32"/>
                <w:szCs w:val="32"/>
              </w:rPr>
            </w:pPr>
          </w:p>
        </w:tc>
        <w:tc>
          <w:tcPr>
            <w:tcW w:w="450" w:type="dxa"/>
            <w:tcBorders>
              <w:left w:val="single" w:sz="6" w:space="0" w:color="auto"/>
            </w:tcBorders>
          </w:tcPr>
          <w:p w14:paraId="1A28B308" w14:textId="77777777" w:rsidR="00B72890" w:rsidRPr="008B4C71" w:rsidRDefault="00B72890" w:rsidP="008D4DC4">
            <w:pPr>
              <w:pStyle w:val="Level111G1"/>
              <w:spacing w:before="0" w:after="0"/>
              <w:ind w:left="907" w:hanging="907"/>
              <w:rPr>
                <w:sz w:val="32"/>
                <w:szCs w:val="32"/>
              </w:rPr>
            </w:pPr>
          </w:p>
        </w:tc>
        <w:tc>
          <w:tcPr>
            <w:tcW w:w="1001" w:type="dxa"/>
            <w:tcBorders>
              <w:left w:val="single" w:sz="6" w:space="0" w:color="auto"/>
            </w:tcBorders>
          </w:tcPr>
          <w:p w14:paraId="2668F374" w14:textId="77777777" w:rsidR="00B72890" w:rsidRPr="008B4C71" w:rsidRDefault="00B72890" w:rsidP="008D4DC4">
            <w:pPr>
              <w:pStyle w:val="Level111G1"/>
              <w:spacing w:before="0" w:after="0"/>
              <w:ind w:left="907" w:hanging="907"/>
              <w:rPr>
                <w:sz w:val="32"/>
                <w:szCs w:val="32"/>
              </w:rPr>
            </w:pPr>
          </w:p>
        </w:tc>
        <w:tc>
          <w:tcPr>
            <w:tcW w:w="1001" w:type="dxa"/>
            <w:tcBorders>
              <w:left w:val="single" w:sz="6" w:space="0" w:color="auto"/>
            </w:tcBorders>
          </w:tcPr>
          <w:p w14:paraId="23506FCD" w14:textId="77777777" w:rsidR="00B72890" w:rsidRPr="008B4C71" w:rsidRDefault="00B72890" w:rsidP="008D4DC4">
            <w:pPr>
              <w:pStyle w:val="Level111G1"/>
              <w:spacing w:before="0" w:after="0"/>
              <w:ind w:left="907" w:hanging="907"/>
              <w:rPr>
                <w:sz w:val="32"/>
                <w:szCs w:val="32"/>
              </w:rPr>
            </w:pPr>
          </w:p>
        </w:tc>
      </w:tr>
      <w:tr w:rsidR="00B72890" w:rsidRPr="00FB5173" w14:paraId="238E200A" w14:textId="77777777">
        <w:trPr>
          <w:cantSplit/>
          <w:trHeight w:val="558"/>
        </w:trPr>
        <w:tc>
          <w:tcPr>
            <w:tcW w:w="6948" w:type="dxa"/>
          </w:tcPr>
          <w:p w14:paraId="5A99CEF0" w14:textId="77777777" w:rsidR="00B72890" w:rsidRPr="00404F05" w:rsidRDefault="001B1506">
            <w:pPr>
              <w:pStyle w:val="Level111G1"/>
              <w:widowControl w:val="0"/>
            </w:pPr>
            <w:r w:rsidRPr="00404F05">
              <w:tab/>
              <w:t>1.2</w:t>
            </w:r>
            <w:r w:rsidRPr="00404F05">
              <w:tab/>
              <w:t>Ask the client to bring to the initial interview all relevant information, including offers to lease, letters of intent, terms sheet(s), and leases. Find out the names and addresses of the other party(</w:t>
            </w:r>
            <w:proofErr w:type="spellStart"/>
            <w:r w:rsidRPr="00404F05">
              <w:t>ies</w:t>
            </w:r>
            <w:proofErr w:type="spellEnd"/>
            <w:r w:rsidRPr="00404F05">
              <w:t xml:space="preserve">). Ensure that you have the correct names of the landlord, the tenant, and the indemnifier, if any. </w:t>
            </w:r>
          </w:p>
        </w:tc>
        <w:tc>
          <w:tcPr>
            <w:tcW w:w="450" w:type="dxa"/>
            <w:tcBorders>
              <w:left w:val="single" w:sz="6" w:space="0" w:color="auto"/>
            </w:tcBorders>
          </w:tcPr>
          <w:p w14:paraId="59A4AE98" w14:textId="77777777" w:rsidR="00B72890" w:rsidRPr="008B4C71" w:rsidRDefault="00B72890">
            <w:pPr>
              <w:pStyle w:val="Level111G1"/>
              <w:rPr>
                <w:sz w:val="32"/>
                <w:szCs w:val="32"/>
              </w:rPr>
            </w:pPr>
          </w:p>
        </w:tc>
        <w:tc>
          <w:tcPr>
            <w:tcW w:w="450" w:type="dxa"/>
            <w:tcBorders>
              <w:left w:val="single" w:sz="6" w:space="0" w:color="auto"/>
            </w:tcBorders>
          </w:tcPr>
          <w:p w14:paraId="1DCADC28" w14:textId="77777777" w:rsidR="00B72890" w:rsidRPr="008B4C71" w:rsidRDefault="00B72890">
            <w:pPr>
              <w:pStyle w:val="Level111G1"/>
              <w:rPr>
                <w:sz w:val="32"/>
                <w:szCs w:val="32"/>
              </w:rPr>
            </w:pPr>
          </w:p>
        </w:tc>
        <w:tc>
          <w:tcPr>
            <w:tcW w:w="450" w:type="dxa"/>
            <w:tcBorders>
              <w:left w:val="single" w:sz="6" w:space="0" w:color="auto"/>
            </w:tcBorders>
          </w:tcPr>
          <w:p w14:paraId="0A6CA355" w14:textId="77777777" w:rsidR="00B72890" w:rsidRPr="008B4C71" w:rsidRDefault="00B72890">
            <w:pPr>
              <w:pStyle w:val="Level111G1"/>
              <w:rPr>
                <w:sz w:val="32"/>
                <w:szCs w:val="32"/>
              </w:rPr>
            </w:pPr>
          </w:p>
        </w:tc>
        <w:tc>
          <w:tcPr>
            <w:tcW w:w="1001" w:type="dxa"/>
            <w:tcBorders>
              <w:left w:val="single" w:sz="6" w:space="0" w:color="auto"/>
            </w:tcBorders>
          </w:tcPr>
          <w:p w14:paraId="04C29B38" w14:textId="77777777" w:rsidR="00B72890" w:rsidRPr="008B4C71" w:rsidRDefault="00B72890">
            <w:pPr>
              <w:pStyle w:val="Level111G1"/>
              <w:rPr>
                <w:sz w:val="32"/>
                <w:szCs w:val="32"/>
              </w:rPr>
            </w:pPr>
          </w:p>
        </w:tc>
        <w:tc>
          <w:tcPr>
            <w:tcW w:w="1001" w:type="dxa"/>
            <w:tcBorders>
              <w:left w:val="single" w:sz="6" w:space="0" w:color="auto"/>
            </w:tcBorders>
          </w:tcPr>
          <w:p w14:paraId="38C974AF" w14:textId="77777777" w:rsidR="00B72890" w:rsidRPr="008B4C71" w:rsidRDefault="00B72890">
            <w:pPr>
              <w:pStyle w:val="Level111G1"/>
              <w:rPr>
                <w:sz w:val="32"/>
                <w:szCs w:val="32"/>
              </w:rPr>
            </w:pPr>
          </w:p>
        </w:tc>
      </w:tr>
      <w:tr w:rsidR="00B72890" w:rsidRPr="00FB5173" w14:paraId="5B99AF17" w14:textId="77777777" w:rsidTr="00D72DC6">
        <w:trPr>
          <w:cantSplit/>
          <w:trHeight w:val="576"/>
        </w:trPr>
        <w:tc>
          <w:tcPr>
            <w:tcW w:w="6948" w:type="dxa"/>
          </w:tcPr>
          <w:p w14:paraId="1E6FD788" w14:textId="77777777" w:rsidR="00B72890" w:rsidRPr="00404F05" w:rsidRDefault="001B1506">
            <w:pPr>
              <w:pStyle w:val="Level111G1"/>
              <w:widowControl w:val="0"/>
            </w:pPr>
            <w:r w:rsidRPr="00404F05">
              <w:tab/>
              <w:t>1.3</w:t>
            </w:r>
            <w:r w:rsidRPr="00404F05">
              <w:tab/>
              <w:t xml:space="preserve">Conduct a conflicts of interest check. Refer to the </w:t>
            </w:r>
            <w:r w:rsidRPr="00404F05">
              <w:rPr>
                <w:bCs/>
                <w:smallCaps/>
              </w:rPr>
              <w:t xml:space="preserve">client </w:t>
            </w:r>
            <w:r w:rsidRPr="00404F05">
              <w:rPr>
                <w:smallCaps/>
              </w:rPr>
              <w:t>file opening and closing</w:t>
            </w:r>
            <w:r w:rsidRPr="00404F05">
              <w:t xml:space="preserve"> (A-2) checklist.</w:t>
            </w:r>
          </w:p>
        </w:tc>
        <w:tc>
          <w:tcPr>
            <w:tcW w:w="450" w:type="dxa"/>
            <w:tcBorders>
              <w:left w:val="single" w:sz="6" w:space="0" w:color="auto"/>
            </w:tcBorders>
          </w:tcPr>
          <w:p w14:paraId="43AC4337" w14:textId="77777777" w:rsidR="00B72890" w:rsidRPr="008B4C71" w:rsidRDefault="00B72890">
            <w:pPr>
              <w:pStyle w:val="Level111G1"/>
              <w:rPr>
                <w:sz w:val="32"/>
                <w:szCs w:val="32"/>
              </w:rPr>
            </w:pPr>
          </w:p>
        </w:tc>
        <w:tc>
          <w:tcPr>
            <w:tcW w:w="450" w:type="dxa"/>
            <w:tcBorders>
              <w:left w:val="single" w:sz="6" w:space="0" w:color="auto"/>
            </w:tcBorders>
          </w:tcPr>
          <w:p w14:paraId="429B6168" w14:textId="77777777" w:rsidR="00B72890" w:rsidRPr="008B4C71" w:rsidRDefault="00B72890">
            <w:pPr>
              <w:pStyle w:val="Level111G1"/>
              <w:rPr>
                <w:sz w:val="32"/>
                <w:szCs w:val="32"/>
              </w:rPr>
            </w:pPr>
          </w:p>
        </w:tc>
        <w:tc>
          <w:tcPr>
            <w:tcW w:w="450" w:type="dxa"/>
            <w:tcBorders>
              <w:left w:val="single" w:sz="6" w:space="0" w:color="auto"/>
            </w:tcBorders>
          </w:tcPr>
          <w:p w14:paraId="5DF4B71C" w14:textId="77777777" w:rsidR="00B72890" w:rsidRPr="008B4C71" w:rsidRDefault="00B72890">
            <w:pPr>
              <w:pStyle w:val="Level111G1"/>
              <w:rPr>
                <w:sz w:val="32"/>
                <w:szCs w:val="32"/>
              </w:rPr>
            </w:pPr>
          </w:p>
        </w:tc>
        <w:tc>
          <w:tcPr>
            <w:tcW w:w="1001" w:type="dxa"/>
            <w:tcBorders>
              <w:left w:val="single" w:sz="6" w:space="0" w:color="auto"/>
            </w:tcBorders>
          </w:tcPr>
          <w:p w14:paraId="10218F55" w14:textId="77777777" w:rsidR="00B72890" w:rsidRPr="008B4C71" w:rsidRDefault="00B72890">
            <w:pPr>
              <w:pStyle w:val="Level111G1"/>
              <w:rPr>
                <w:sz w:val="32"/>
                <w:szCs w:val="32"/>
              </w:rPr>
            </w:pPr>
          </w:p>
        </w:tc>
        <w:tc>
          <w:tcPr>
            <w:tcW w:w="1001" w:type="dxa"/>
            <w:tcBorders>
              <w:left w:val="single" w:sz="6" w:space="0" w:color="auto"/>
            </w:tcBorders>
          </w:tcPr>
          <w:p w14:paraId="2BF2B698" w14:textId="1953A7E8" w:rsidR="00B72890" w:rsidRPr="002A4C75" w:rsidRDefault="00B72890" w:rsidP="002A4C75"/>
        </w:tc>
      </w:tr>
      <w:tr w:rsidR="00B72890" w:rsidRPr="00FB5173" w14:paraId="3D55B1E9" w14:textId="77777777">
        <w:trPr>
          <w:cantSplit/>
          <w:trHeight w:val="558"/>
        </w:trPr>
        <w:tc>
          <w:tcPr>
            <w:tcW w:w="6948" w:type="dxa"/>
          </w:tcPr>
          <w:p w14:paraId="31DEFD2B" w14:textId="77777777" w:rsidR="00B72890" w:rsidRPr="00404F05" w:rsidRDefault="001B1506">
            <w:pPr>
              <w:pStyle w:val="Level111G1"/>
              <w:widowControl w:val="0"/>
            </w:pPr>
            <w:r w:rsidRPr="00404F05">
              <w:tab/>
              <w:t>1.4</w:t>
            </w:r>
            <w:r w:rsidRPr="00404F05">
              <w:tab/>
              <w:t xml:space="preserve">Confirm compliance with Law Society Rules 3-98 to 3-110 for client identification and verification and source of money for financial transactions. Complete the </w:t>
            </w:r>
            <w:r w:rsidRPr="00404F05">
              <w:rPr>
                <w:smallCaps/>
              </w:rPr>
              <w:t>client identification</w:t>
            </w:r>
            <w:r w:rsidRPr="00404F05">
              <w:t xml:space="preserve">, </w:t>
            </w:r>
            <w:r w:rsidRPr="00404F05">
              <w:rPr>
                <w:smallCaps/>
              </w:rPr>
              <w:t xml:space="preserve">verification, and source of money </w:t>
            </w:r>
            <w:r w:rsidRPr="00404F05">
              <w:t>(A-1) checklist. Consider periodic monitoring requirements (Rule 3-110).</w:t>
            </w:r>
          </w:p>
        </w:tc>
        <w:tc>
          <w:tcPr>
            <w:tcW w:w="450" w:type="dxa"/>
            <w:tcBorders>
              <w:left w:val="single" w:sz="6" w:space="0" w:color="auto"/>
            </w:tcBorders>
          </w:tcPr>
          <w:p w14:paraId="52A31F1B" w14:textId="77777777" w:rsidR="00B72890" w:rsidRPr="008B4C71" w:rsidRDefault="00B72890">
            <w:pPr>
              <w:pStyle w:val="Level111G1"/>
              <w:rPr>
                <w:sz w:val="32"/>
                <w:szCs w:val="32"/>
              </w:rPr>
            </w:pPr>
          </w:p>
        </w:tc>
        <w:tc>
          <w:tcPr>
            <w:tcW w:w="450" w:type="dxa"/>
            <w:tcBorders>
              <w:left w:val="single" w:sz="6" w:space="0" w:color="auto"/>
            </w:tcBorders>
          </w:tcPr>
          <w:p w14:paraId="56ED2965" w14:textId="77777777" w:rsidR="00B72890" w:rsidRPr="008B4C71" w:rsidRDefault="00B72890">
            <w:pPr>
              <w:pStyle w:val="Level111G1"/>
              <w:rPr>
                <w:sz w:val="32"/>
                <w:szCs w:val="32"/>
              </w:rPr>
            </w:pPr>
          </w:p>
        </w:tc>
        <w:tc>
          <w:tcPr>
            <w:tcW w:w="450" w:type="dxa"/>
            <w:tcBorders>
              <w:left w:val="single" w:sz="6" w:space="0" w:color="auto"/>
            </w:tcBorders>
          </w:tcPr>
          <w:p w14:paraId="6359F8AE" w14:textId="77777777" w:rsidR="00B72890" w:rsidRPr="008B4C71" w:rsidRDefault="00B72890">
            <w:pPr>
              <w:pStyle w:val="Level111G1"/>
              <w:rPr>
                <w:sz w:val="32"/>
                <w:szCs w:val="32"/>
              </w:rPr>
            </w:pPr>
          </w:p>
        </w:tc>
        <w:tc>
          <w:tcPr>
            <w:tcW w:w="1001" w:type="dxa"/>
            <w:tcBorders>
              <w:left w:val="single" w:sz="6" w:space="0" w:color="auto"/>
            </w:tcBorders>
          </w:tcPr>
          <w:p w14:paraId="0DA6281F" w14:textId="77777777" w:rsidR="00B72890" w:rsidRPr="008B4C71" w:rsidRDefault="00B72890">
            <w:pPr>
              <w:pStyle w:val="Level111G1"/>
              <w:rPr>
                <w:sz w:val="32"/>
                <w:szCs w:val="32"/>
              </w:rPr>
            </w:pPr>
          </w:p>
        </w:tc>
        <w:tc>
          <w:tcPr>
            <w:tcW w:w="1001" w:type="dxa"/>
            <w:tcBorders>
              <w:left w:val="single" w:sz="6" w:space="0" w:color="auto"/>
            </w:tcBorders>
          </w:tcPr>
          <w:p w14:paraId="3A5DD8DF" w14:textId="77777777" w:rsidR="00B72890" w:rsidRPr="008B4C71" w:rsidRDefault="00B72890">
            <w:pPr>
              <w:pStyle w:val="Level111G1"/>
              <w:rPr>
                <w:sz w:val="32"/>
                <w:szCs w:val="32"/>
              </w:rPr>
            </w:pPr>
          </w:p>
        </w:tc>
      </w:tr>
      <w:tr w:rsidR="00B72890" w:rsidRPr="00FB5173" w14:paraId="62C1CAD0" w14:textId="77777777">
        <w:trPr>
          <w:cantSplit/>
        </w:trPr>
        <w:tc>
          <w:tcPr>
            <w:tcW w:w="6948" w:type="dxa"/>
          </w:tcPr>
          <w:p w14:paraId="1B971BC0" w14:textId="77777777" w:rsidR="00B72890" w:rsidRPr="00404F05" w:rsidRDefault="001B1506">
            <w:pPr>
              <w:pStyle w:val="NumberedheadingGH"/>
              <w:keepNext w:val="0"/>
              <w:keepLines w:val="0"/>
              <w:widowControl w:val="0"/>
              <w:jc w:val="both"/>
            </w:pPr>
            <w:r w:rsidRPr="00404F05">
              <w:t>2.</w:t>
            </w:r>
            <w:r w:rsidRPr="00404F05">
              <w:tab/>
              <w:t>INITIAL INTERVIEW</w:t>
            </w:r>
          </w:p>
        </w:tc>
        <w:tc>
          <w:tcPr>
            <w:tcW w:w="450" w:type="dxa"/>
            <w:tcBorders>
              <w:left w:val="single" w:sz="6" w:space="0" w:color="auto"/>
            </w:tcBorders>
          </w:tcPr>
          <w:p w14:paraId="0F106201"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028C7E42" w14:textId="77777777" w:rsidR="00B72890" w:rsidRPr="008B4C71" w:rsidRDefault="00B72890">
            <w:pPr>
              <w:pStyle w:val="unformattedtext"/>
              <w:spacing w:before="60"/>
              <w:rPr>
                <w:sz w:val="32"/>
                <w:szCs w:val="32"/>
              </w:rPr>
            </w:pPr>
          </w:p>
        </w:tc>
        <w:tc>
          <w:tcPr>
            <w:tcW w:w="450" w:type="dxa"/>
            <w:tcBorders>
              <w:left w:val="single" w:sz="6" w:space="0" w:color="auto"/>
            </w:tcBorders>
          </w:tcPr>
          <w:p w14:paraId="62D45ECD"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0845BA7E" w14:textId="77777777" w:rsidR="00B72890" w:rsidRPr="008B4C71" w:rsidRDefault="00B72890">
            <w:pPr>
              <w:pStyle w:val="unformattedtext"/>
              <w:spacing w:before="60"/>
              <w:rPr>
                <w:sz w:val="32"/>
                <w:szCs w:val="32"/>
              </w:rPr>
            </w:pPr>
          </w:p>
        </w:tc>
        <w:tc>
          <w:tcPr>
            <w:tcW w:w="1001" w:type="dxa"/>
            <w:tcBorders>
              <w:left w:val="single" w:sz="6" w:space="0" w:color="auto"/>
            </w:tcBorders>
          </w:tcPr>
          <w:p w14:paraId="761019FC" w14:textId="77777777" w:rsidR="00B72890" w:rsidRPr="008B4C71" w:rsidRDefault="00B72890">
            <w:pPr>
              <w:pStyle w:val="unformattedtext"/>
              <w:spacing w:before="60"/>
              <w:rPr>
                <w:sz w:val="32"/>
                <w:szCs w:val="32"/>
              </w:rPr>
            </w:pPr>
          </w:p>
        </w:tc>
      </w:tr>
      <w:tr w:rsidR="00B72890" w:rsidRPr="00FB5173" w14:paraId="576B519D" w14:textId="77777777">
        <w:trPr>
          <w:cantSplit/>
          <w:trHeight w:val="207"/>
        </w:trPr>
        <w:tc>
          <w:tcPr>
            <w:tcW w:w="6948" w:type="dxa"/>
          </w:tcPr>
          <w:p w14:paraId="3F8E678D" w14:textId="77777777" w:rsidR="00B72890" w:rsidRPr="00404F05" w:rsidRDefault="001B1506">
            <w:pPr>
              <w:pStyle w:val="Level111G1"/>
              <w:widowControl w:val="0"/>
            </w:pPr>
            <w:r w:rsidRPr="00404F05">
              <w:tab/>
              <w:t>2.1</w:t>
            </w:r>
            <w:r w:rsidRPr="00404F05">
              <w:tab/>
              <w:t xml:space="preserve">Discuss the terms of your retainer and the calculation of your fee. Refer to the </w:t>
            </w:r>
            <w:r w:rsidRPr="00404F05">
              <w:rPr>
                <w:bCs/>
                <w:smallCaps/>
              </w:rPr>
              <w:t xml:space="preserve">client </w:t>
            </w:r>
            <w:r w:rsidRPr="00404F05">
              <w:rPr>
                <w:smallCaps/>
              </w:rPr>
              <w:t>file opening and closing</w:t>
            </w:r>
            <w:r w:rsidRPr="00404F05">
              <w:t xml:space="preserve"> (A-2) checklist. </w:t>
            </w:r>
          </w:p>
        </w:tc>
        <w:tc>
          <w:tcPr>
            <w:tcW w:w="450" w:type="dxa"/>
            <w:tcBorders>
              <w:left w:val="single" w:sz="6" w:space="0" w:color="auto"/>
            </w:tcBorders>
          </w:tcPr>
          <w:p w14:paraId="55276BD5" w14:textId="77777777" w:rsidR="00B72890" w:rsidRPr="008B4C71" w:rsidRDefault="00B72890">
            <w:pPr>
              <w:pStyle w:val="Level111G1"/>
              <w:rPr>
                <w:sz w:val="32"/>
                <w:szCs w:val="32"/>
              </w:rPr>
            </w:pPr>
          </w:p>
        </w:tc>
        <w:tc>
          <w:tcPr>
            <w:tcW w:w="450" w:type="dxa"/>
            <w:tcBorders>
              <w:left w:val="single" w:sz="6" w:space="0" w:color="auto"/>
            </w:tcBorders>
          </w:tcPr>
          <w:p w14:paraId="64609B86" w14:textId="77777777" w:rsidR="00B72890" w:rsidRPr="008B4C71" w:rsidRDefault="00B72890">
            <w:pPr>
              <w:pStyle w:val="Level111G1"/>
              <w:rPr>
                <w:sz w:val="32"/>
                <w:szCs w:val="32"/>
              </w:rPr>
            </w:pPr>
          </w:p>
        </w:tc>
        <w:tc>
          <w:tcPr>
            <w:tcW w:w="450" w:type="dxa"/>
            <w:tcBorders>
              <w:left w:val="single" w:sz="6" w:space="0" w:color="auto"/>
            </w:tcBorders>
          </w:tcPr>
          <w:p w14:paraId="693B5904" w14:textId="77777777" w:rsidR="00B72890" w:rsidRPr="008B4C71" w:rsidRDefault="00B72890">
            <w:pPr>
              <w:pStyle w:val="Level111G1"/>
              <w:rPr>
                <w:sz w:val="32"/>
                <w:szCs w:val="32"/>
              </w:rPr>
            </w:pPr>
          </w:p>
        </w:tc>
        <w:tc>
          <w:tcPr>
            <w:tcW w:w="1001" w:type="dxa"/>
            <w:tcBorders>
              <w:left w:val="single" w:sz="6" w:space="0" w:color="auto"/>
            </w:tcBorders>
          </w:tcPr>
          <w:p w14:paraId="24D2D987" w14:textId="77777777" w:rsidR="00B72890" w:rsidRPr="008B4C71" w:rsidRDefault="00B72890">
            <w:pPr>
              <w:pStyle w:val="Level111G1"/>
              <w:rPr>
                <w:sz w:val="32"/>
                <w:szCs w:val="32"/>
              </w:rPr>
            </w:pPr>
          </w:p>
        </w:tc>
        <w:tc>
          <w:tcPr>
            <w:tcW w:w="1001" w:type="dxa"/>
            <w:tcBorders>
              <w:left w:val="single" w:sz="6" w:space="0" w:color="auto"/>
            </w:tcBorders>
          </w:tcPr>
          <w:p w14:paraId="47EFD92C" w14:textId="77777777" w:rsidR="00B72890" w:rsidRPr="008B4C71" w:rsidRDefault="00B72890">
            <w:pPr>
              <w:pStyle w:val="Level111G1"/>
              <w:rPr>
                <w:sz w:val="32"/>
                <w:szCs w:val="32"/>
              </w:rPr>
            </w:pPr>
          </w:p>
        </w:tc>
      </w:tr>
      <w:tr w:rsidR="00B72890" w:rsidRPr="00FB5173" w14:paraId="7C32A866" w14:textId="77777777">
        <w:trPr>
          <w:cantSplit/>
          <w:trHeight w:val="810"/>
        </w:trPr>
        <w:tc>
          <w:tcPr>
            <w:tcW w:w="6948" w:type="dxa"/>
          </w:tcPr>
          <w:p w14:paraId="4B26CBB3" w14:textId="77777777" w:rsidR="00B72890" w:rsidRPr="00404F05" w:rsidRDefault="001B1506">
            <w:pPr>
              <w:pStyle w:val="Level111G1"/>
            </w:pPr>
            <w:r w:rsidRPr="00404F05">
              <w:tab/>
              <w:t>2.2</w:t>
            </w:r>
            <w:r w:rsidRPr="00404F05">
              <w:tab/>
              <w:t xml:space="preserve"> See item 1.2 regarding identifying other parties. Obtain the names and addresses of the other parties’ counsel. Clarify your role in the transaction and that of other advisors to the client. Consider the application of the </w:t>
            </w:r>
            <w:r w:rsidRPr="00404F05">
              <w:rPr>
                <w:i/>
              </w:rPr>
              <w:t>LOTA</w:t>
            </w:r>
            <w:r w:rsidRPr="00404F05">
              <w:t xml:space="preserve"> and additional detailed information that may be required regarding individuals who hold an indirect interest in the land in order to file a transparency declaration and transparency report, if applicable. See above under “New developments” and “Of note”.  </w:t>
            </w:r>
          </w:p>
        </w:tc>
        <w:tc>
          <w:tcPr>
            <w:tcW w:w="450" w:type="dxa"/>
            <w:tcBorders>
              <w:left w:val="single" w:sz="6" w:space="0" w:color="auto"/>
            </w:tcBorders>
          </w:tcPr>
          <w:p w14:paraId="2A617FCD" w14:textId="77777777" w:rsidR="00B72890" w:rsidRPr="008B4C71" w:rsidRDefault="00B72890">
            <w:pPr>
              <w:pStyle w:val="Level111G1"/>
              <w:rPr>
                <w:sz w:val="32"/>
                <w:szCs w:val="32"/>
              </w:rPr>
            </w:pPr>
          </w:p>
        </w:tc>
        <w:tc>
          <w:tcPr>
            <w:tcW w:w="450" w:type="dxa"/>
            <w:tcBorders>
              <w:left w:val="single" w:sz="6" w:space="0" w:color="auto"/>
            </w:tcBorders>
          </w:tcPr>
          <w:p w14:paraId="797092EB" w14:textId="77777777" w:rsidR="00B72890" w:rsidRPr="008B4C71" w:rsidRDefault="00B72890">
            <w:pPr>
              <w:pStyle w:val="Level111G1"/>
              <w:rPr>
                <w:sz w:val="32"/>
                <w:szCs w:val="32"/>
              </w:rPr>
            </w:pPr>
          </w:p>
        </w:tc>
        <w:tc>
          <w:tcPr>
            <w:tcW w:w="450" w:type="dxa"/>
            <w:tcBorders>
              <w:left w:val="single" w:sz="6" w:space="0" w:color="auto"/>
            </w:tcBorders>
          </w:tcPr>
          <w:p w14:paraId="6EC12B18" w14:textId="77777777" w:rsidR="00B72890" w:rsidRPr="008B4C71" w:rsidRDefault="00B72890">
            <w:pPr>
              <w:pStyle w:val="Level111G1"/>
              <w:rPr>
                <w:sz w:val="32"/>
                <w:szCs w:val="32"/>
              </w:rPr>
            </w:pPr>
          </w:p>
        </w:tc>
        <w:tc>
          <w:tcPr>
            <w:tcW w:w="1001" w:type="dxa"/>
            <w:tcBorders>
              <w:left w:val="single" w:sz="6" w:space="0" w:color="auto"/>
            </w:tcBorders>
          </w:tcPr>
          <w:p w14:paraId="039F1CF3" w14:textId="77777777" w:rsidR="00B72890" w:rsidRPr="008B4C71" w:rsidRDefault="00B72890">
            <w:pPr>
              <w:pStyle w:val="Level111G1"/>
              <w:rPr>
                <w:sz w:val="32"/>
                <w:szCs w:val="32"/>
              </w:rPr>
            </w:pPr>
          </w:p>
        </w:tc>
        <w:tc>
          <w:tcPr>
            <w:tcW w:w="1001" w:type="dxa"/>
            <w:tcBorders>
              <w:left w:val="single" w:sz="6" w:space="0" w:color="auto"/>
            </w:tcBorders>
          </w:tcPr>
          <w:p w14:paraId="0A26590B" w14:textId="77777777" w:rsidR="00B72890" w:rsidRPr="008B4C71" w:rsidRDefault="00B72890">
            <w:pPr>
              <w:pStyle w:val="Level111G1"/>
              <w:rPr>
                <w:sz w:val="32"/>
                <w:szCs w:val="32"/>
              </w:rPr>
            </w:pPr>
          </w:p>
        </w:tc>
      </w:tr>
      <w:tr w:rsidR="00B72890" w:rsidRPr="00FB5173" w14:paraId="53E0608A" w14:textId="77777777" w:rsidTr="008D4DC4">
        <w:trPr>
          <w:cantSplit/>
          <w:trHeight w:val="252"/>
        </w:trPr>
        <w:tc>
          <w:tcPr>
            <w:tcW w:w="6948" w:type="dxa"/>
          </w:tcPr>
          <w:p w14:paraId="3E73541B" w14:textId="77777777" w:rsidR="00B72890" w:rsidRPr="00404F05" w:rsidRDefault="001B1506" w:rsidP="008D4DC4">
            <w:pPr>
              <w:pStyle w:val="Level111G1"/>
              <w:widowControl w:val="0"/>
              <w:spacing w:before="0" w:after="0"/>
              <w:ind w:left="907" w:hanging="907"/>
            </w:pPr>
            <w:r w:rsidRPr="00404F05">
              <w:tab/>
              <w:t>2.3</w:t>
            </w:r>
            <w:r w:rsidRPr="00404F05">
              <w:tab/>
              <w:t xml:space="preserve">Discuss the nature of the transaction and the steps you will be taking. </w:t>
            </w:r>
          </w:p>
        </w:tc>
        <w:tc>
          <w:tcPr>
            <w:tcW w:w="450" w:type="dxa"/>
            <w:tcBorders>
              <w:left w:val="single" w:sz="6" w:space="0" w:color="auto"/>
            </w:tcBorders>
          </w:tcPr>
          <w:p w14:paraId="696E5DCF" w14:textId="77777777" w:rsidR="00B72890" w:rsidRPr="008B4C71" w:rsidRDefault="00B72890" w:rsidP="008D4DC4">
            <w:pPr>
              <w:pStyle w:val="Level111G1"/>
              <w:spacing w:before="0" w:after="0"/>
              <w:ind w:left="907" w:hanging="907"/>
              <w:rPr>
                <w:sz w:val="32"/>
                <w:szCs w:val="32"/>
              </w:rPr>
            </w:pPr>
          </w:p>
        </w:tc>
        <w:tc>
          <w:tcPr>
            <w:tcW w:w="450" w:type="dxa"/>
            <w:tcBorders>
              <w:left w:val="single" w:sz="6" w:space="0" w:color="auto"/>
            </w:tcBorders>
          </w:tcPr>
          <w:p w14:paraId="4A11AB69" w14:textId="77777777" w:rsidR="00B72890" w:rsidRPr="008B4C71" w:rsidRDefault="00B72890" w:rsidP="008D4DC4">
            <w:pPr>
              <w:pStyle w:val="Level111G1"/>
              <w:spacing w:before="0" w:after="0"/>
              <w:ind w:left="907" w:hanging="907"/>
              <w:rPr>
                <w:sz w:val="32"/>
                <w:szCs w:val="32"/>
              </w:rPr>
            </w:pPr>
          </w:p>
        </w:tc>
        <w:tc>
          <w:tcPr>
            <w:tcW w:w="450" w:type="dxa"/>
            <w:tcBorders>
              <w:left w:val="single" w:sz="6" w:space="0" w:color="auto"/>
            </w:tcBorders>
          </w:tcPr>
          <w:p w14:paraId="22E9B37D" w14:textId="77777777" w:rsidR="00B72890" w:rsidRPr="008B4C71" w:rsidRDefault="00B72890" w:rsidP="008D4DC4">
            <w:pPr>
              <w:pStyle w:val="Level111G1"/>
              <w:spacing w:before="0" w:after="0"/>
              <w:ind w:left="907" w:hanging="907"/>
              <w:rPr>
                <w:sz w:val="32"/>
                <w:szCs w:val="32"/>
              </w:rPr>
            </w:pPr>
          </w:p>
        </w:tc>
        <w:tc>
          <w:tcPr>
            <w:tcW w:w="1001" w:type="dxa"/>
            <w:tcBorders>
              <w:left w:val="single" w:sz="6" w:space="0" w:color="auto"/>
            </w:tcBorders>
          </w:tcPr>
          <w:p w14:paraId="7A977BCD" w14:textId="77777777" w:rsidR="00B72890" w:rsidRPr="008B4C71" w:rsidRDefault="00B72890" w:rsidP="008D4DC4">
            <w:pPr>
              <w:pStyle w:val="Level111G1"/>
              <w:spacing w:before="0" w:after="0"/>
              <w:ind w:left="907" w:hanging="907"/>
              <w:rPr>
                <w:sz w:val="32"/>
                <w:szCs w:val="32"/>
              </w:rPr>
            </w:pPr>
          </w:p>
        </w:tc>
        <w:tc>
          <w:tcPr>
            <w:tcW w:w="1001" w:type="dxa"/>
            <w:tcBorders>
              <w:left w:val="single" w:sz="6" w:space="0" w:color="auto"/>
            </w:tcBorders>
          </w:tcPr>
          <w:p w14:paraId="20756CEC" w14:textId="77777777" w:rsidR="00B72890" w:rsidRPr="008B4C71" w:rsidRDefault="00B72890" w:rsidP="008D4DC4">
            <w:pPr>
              <w:pStyle w:val="Level111G1"/>
              <w:spacing w:before="0" w:after="0"/>
              <w:ind w:left="907" w:hanging="907"/>
              <w:rPr>
                <w:sz w:val="32"/>
                <w:szCs w:val="32"/>
              </w:rPr>
            </w:pPr>
          </w:p>
        </w:tc>
      </w:tr>
      <w:tr w:rsidR="00B72890" w:rsidRPr="00FB5173" w14:paraId="59F672FF" w14:textId="77777777" w:rsidTr="008D4DC4">
        <w:trPr>
          <w:cantSplit/>
          <w:trHeight w:val="234"/>
        </w:trPr>
        <w:tc>
          <w:tcPr>
            <w:tcW w:w="6948" w:type="dxa"/>
          </w:tcPr>
          <w:p w14:paraId="61E480EC" w14:textId="77777777" w:rsidR="00B72890" w:rsidRPr="00404F05" w:rsidRDefault="001B1506" w:rsidP="008D4DC4">
            <w:pPr>
              <w:pStyle w:val="Level111G1"/>
              <w:widowControl w:val="0"/>
              <w:spacing w:before="0" w:after="0"/>
              <w:ind w:left="907" w:hanging="907"/>
            </w:pPr>
            <w:r w:rsidRPr="00404F05">
              <w:tab/>
              <w:t>2.4</w:t>
            </w:r>
            <w:r w:rsidRPr="00404F05">
              <w:tab/>
              <w:t>Discuss the client’s objectives and the background of the leasing transaction.</w:t>
            </w:r>
          </w:p>
        </w:tc>
        <w:tc>
          <w:tcPr>
            <w:tcW w:w="450" w:type="dxa"/>
            <w:tcBorders>
              <w:left w:val="single" w:sz="6" w:space="0" w:color="auto"/>
            </w:tcBorders>
          </w:tcPr>
          <w:p w14:paraId="1632C211" w14:textId="77777777" w:rsidR="00B72890" w:rsidRPr="008B4C71" w:rsidRDefault="00B72890" w:rsidP="008D4DC4">
            <w:pPr>
              <w:pStyle w:val="Level111G1"/>
              <w:spacing w:before="0" w:after="0"/>
              <w:ind w:left="907" w:hanging="907"/>
              <w:rPr>
                <w:sz w:val="32"/>
                <w:szCs w:val="32"/>
              </w:rPr>
            </w:pPr>
          </w:p>
        </w:tc>
        <w:tc>
          <w:tcPr>
            <w:tcW w:w="450" w:type="dxa"/>
            <w:tcBorders>
              <w:left w:val="single" w:sz="6" w:space="0" w:color="auto"/>
            </w:tcBorders>
          </w:tcPr>
          <w:p w14:paraId="344BC1F8" w14:textId="77777777" w:rsidR="00B72890" w:rsidRPr="008B4C71" w:rsidRDefault="00B72890" w:rsidP="008D4DC4">
            <w:pPr>
              <w:pStyle w:val="Level111G1"/>
              <w:spacing w:before="0" w:after="0"/>
              <w:ind w:left="907" w:hanging="907"/>
              <w:rPr>
                <w:sz w:val="32"/>
                <w:szCs w:val="32"/>
              </w:rPr>
            </w:pPr>
          </w:p>
        </w:tc>
        <w:tc>
          <w:tcPr>
            <w:tcW w:w="450" w:type="dxa"/>
            <w:tcBorders>
              <w:left w:val="single" w:sz="6" w:space="0" w:color="auto"/>
            </w:tcBorders>
          </w:tcPr>
          <w:p w14:paraId="595D1EFC" w14:textId="77777777" w:rsidR="00B72890" w:rsidRPr="008B4C71" w:rsidRDefault="00B72890" w:rsidP="008D4DC4">
            <w:pPr>
              <w:pStyle w:val="Level111G1"/>
              <w:spacing w:before="0" w:after="0"/>
              <w:ind w:left="907" w:hanging="907"/>
              <w:rPr>
                <w:sz w:val="32"/>
                <w:szCs w:val="32"/>
              </w:rPr>
            </w:pPr>
          </w:p>
        </w:tc>
        <w:tc>
          <w:tcPr>
            <w:tcW w:w="1001" w:type="dxa"/>
            <w:tcBorders>
              <w:left w:val="single" w:sz="6" w:space="0" w:color="auto"/>
            </w:tcBorders>
          </w:tcPr>
          <w:p w14:paraId="647A85DB" w14:textId="77777777" w:rsidR="00B72890" w:rsidRPr="008B4C71" w:rsidRDefault="00B72890" w:rsidP="008D4DC4">
            <w:pPr>
              <w:pStyle w:val="Level111G1"/>
              <w:spacing w:before="0" w:after="0"/>
              <w:ind w:left="907" w:hanging="907"/>
              <w:rPr>
                <w:sz w:val="32"/>
                <w:szCs w:val="32"/>
              </w:rPr>
            </w:pPr>
          </w:p>
        </w:tc>
        <w:tc>
          <w:tcPr>
            <w:tcW w:w="1001" w:type="dxa"/>
            <w:tcBorders>
              <w:left w:val="single" w:sz="6" w:space="0" w:color="auto"/>
            </w:tcBorders>
          </w:tcPr>
          <w:p w14:paraId="4B6E1A5E" w14:textId="77777777" w:rsidR="00B72890" w:rsidRPr="008B4C71" w:rsidRDefault="00B72890" w:rsidP="008D4DC4">
            <w:pPr>
              <w:pStyle w:val="Level111G1"/>
              <w:spacing w:before="0" w:after="0"/>
              <w:ind w:left="907" w:hanging="907"/>
              <w:rPr>
                <w:sz w:val="32"/>
                <w:szCs w:val="32"/>
              </w:rPr>
            </w:pPr>
          </w:p>
        </w:tc>
      </w:tr>
      <w:tr w:rsidR="00B72890" w:rsidRPr="00FB5173" w14:paraId="55C99FB4" w14:textId="77777777">
        <w:trPr>
          <w:cantSplit/>
          <w:trHeight w:val="540"/>
        </w:trPr>
        <w:tc>
          <w:tcPr>
            <w:tcW w:w="6948" w:type="dxa"/>
          </w:tcPr>
          <w:p w14:paraId="5EA67B39" w14:textId="77777777" w:rsidR="00B72890" w:rsidRPr="00404F05" w:rsidRDefault="001B1506">
            <w:pPr>
              <w:pStyle w:val="Level111G1"/>
              <w:widowControl w:val="0"/>
            </w:pPr>
            <w:r w:rsidRPr="00404F05">
              <w:tab/>
              <w:t>2.5</w:t>
            </w:r>
            <w:r w:rsidRPr="00404F05">
              <w:tab/>
              <w:t>If you are acting for the landlord, find out whether you will be drafting leases for all tenancies in a development, and whether a standard form of lease already exists for the development.</w:t>
            </w:r>
          </w:p>
        </w:tc>
        <w:tc>
          <w:tcPr>
            <w:tcW w:w="450" w:type="dxa"/>
            <w:tcBorders>
              <w:left w:val="single" w:sz="6" w:space="0" w:color="auto"/>
            </w:tcBorders>
          </w:tcPr>
          <w:p w14:paraId="33D22AB3" w14:textId="77777777" w:rsidR="00B72890" w:rsidRPr="008B4C71" w:rsidRDefault="00B72890">
            <w:pPr>
              <w:pStyle w:val="Level111G1"/>
              <w:rPr>
                <w:sz w:val="32"/>
                <w:szCs w:val="32"/>
              </w:rPr>
            </w:pPr>
          </w:p>
        </w:tc>
        <w:tc>
          <w:tcPr>
            <w:tcW w:w="450" w:type="dxa"/>
            <w:tcBorders>
              <w:left w:val="single" w:sz="6" w:space="0" w:color="auto"/>
            </w:tcBorders>
          </w:tcPr>
          <w:p w14:paraId="20BCEB92" w14:textId="77777777" w:rsidR="00B72890" w:rsidRPr="008B4C71" w:rsidRDefault="00B72890">
            <w:pPr>
              <w:pStyle w:val="Level111G1"/>
              <w:rPr>
                <w:sz w:val="32"/>
                <w:szCs w:val="32"/>
              </w:rPr>
            </w:pPr>
          </w:p>
        </w:tc>
        <w:tc>
          <w:tcPr>
            <w:tcW w:w="450" w:type="dxa"/>
            <w:tcBorders>
              <w:left w:val="single" w:sz="6" w:space="0" w:color="auto"/>
            </w:tcBorders>
          </w:tcPr>
          <w:p w14:paraId="0AA61204" w14:textId="77777777" w:rsidR="00B72890" w:rsidRPr="008B4C71" w:rsidRDefault="00B72890">
            <w:pPr>
              <w:pStyle w:val="Level111G1"/>
              <w:rPr>
                <w:sz w:val="32"/>
                <w:szCs w:val="32"/>
              </w:rPr>
            </w:pPr>
          </w:p>
        </w:tc>
        <w:tc>
          <w:tcPr>
            <w:tcW w:w="1001" w:type="dxa"/>
            <w:tcBorders>
              <w:left w:val="single" w:sz="6" w:space="0" w:color="auto"/>
            </w:tcBorders>
          </w:tcPr>
          <w:p w14:paraId="200DCBFE" w14:textId="77777777" w:rsidR="00B72890" w:rsidRPr="008B4C71" w:rsidRDefault="00B72890">
            <w:pPr>
              <w:pStyle w:val="Level111G1"/>
              <w:rPr>
                <w:sz w:val="32"/>
                <w:szCs w:val="32"/>
              </w:rPr>
            </w:pPr>
          </w:p>
        </w:tc>
        <w:tc>
          <w:tcPr>
            <w:tcW w:w="1001" w:type="dxa"/>
            <w:tcBorders>
              <w:left w:val="single" w:sz="6" w:space="0" w:color="auto"/>
            </w:tcBorders>
          </w:tcPr>
          <w:p w14:paraId="4C578D04" w14:textId="77777777" w:rsidR="00B72890" w:rsidRPr="008B4C71" w:rsidRDefault="00B72890">
            <w:pPr>
              <w:pStyle w:val="Level111G1"/>
              <w:rPr>
                <w:sz w:val="32"/>
                <w:szCs w:val="32"/>
              </w:rPr>
            </w:pPr>
          </w:p>
        </w:tc>
      </w:tr>
      <w:tr w:rsidR="00B72890" w:rsidRPr="00FB5173" w14:paraId="7423635D" w14:textId="77777777">
        <w:trPr>
          <w:cantSplit/>
          <w:trHeight w:val="738"/>
        </w:trPr>
        <w:tc>
          <w:tcPr>
            <w:tcW w:w="6948" w:type="dxa"/>
          </w:tcPr>
          <w:p w14:paraId="3300A0A5" w14:textId="77777777" w:rsidR="00B72890" w:rsidRPr="00404F05" w:rsidRDefault="001B1506">
            <w:pPr>
              <w:pStyle w:val="Level111G1"/>
              <w:widowControl w:val="0"/>
            </w:pPr>
            <w:r w:rsidRPr="00404F05">
              <w:tab/>
              <w:t>2.6</w:t>
            </w:r>
            <w:r w:rsidRPr="00404F05">
              <w:tab/>
              <w:t xml:space="preserve">Collect information and discuss the provisions of the lease or offer to lease, referring to the </w:t>
            </w:r>
            <w:r w:rsidRPr="00404F05">
              <w:rPr>
                <w:smallCaps/>
              </w:rPr>
              <w:t>commercial lease drafting (B-11)</w:t>
            </w:r>
            <w:r w:rsidRPr="00404F05">
              <w:t xml:space="preserve"> checklist and noting any special features of the transaction. Include:</w:t>
            </w:r>
          </w:p>
        </w:tc>
        <w:tc>
          <w:tcPr>
            <w:tcW w:w="450" w:type="dxa"/>
            <w:tcBorders>
              <w:left w:val="single" w:sz="6" w:space="0" w:color="auto"/>
            </w:tcBorders>
          </w:tcPr>
          <w:p w14:paraId="3A1FB521" w14:textId="77777777" w:rsidR="00B72890" w:rsidRPr="008B4C71" w:rsidRDefault="00B72890">
            <w:pPr>
              <w:pStyle w:val="Level111G1"/>
              <w:rPr>
                <w:sz w:val="32"/>
                <w:szCs w:val="32"/>
              </w:rPr>
            </w:pPr>
          </w:p>
        </w:tc>
        <w:tc>
          <w:tcPr>
            <w:tcW w:w="450" w:type="dxa"/>
            <w:tcBorders>
              <w:left w:val="single" w:sz="6" w:space="0" w:color="auto"/>
            </w:tcBorders>
          </w:tcPr>
          <w:p w14:paraId="6D748EFF" w14:textId="77777777" w:rsidR="00B72890" w:rsidRPr="008B4C71" w:rsidRDefault="00B72890">
            <w:pPr>
              <w:pStyle w:val="Level111G1"/>
              <w:rPr>
                <w:sz w:val="32"/>
                <w:szCs w:val="32"/>
              </w:rPr>
            </w:pPr>
          </w:p>
        </w:tc>
        <w:tc>
          <w:tcPr>
            <w:tcW w:w="450" w:type="dxa"/>
            <w:tcBorders>
              <w:left w:val="single" w:sz="6" w:space="0" w:color="auto"/>
            </w:tcBorders>
          </w:tcPr>
          <w:p w14:paraId="2B9ECEF0" w14:textId="77777777" w:rsidR="00B72890" w:rsidRPr="008B4C71" w:rsidRDefault="00B72890">
            <w:pPr>
              <w:pStyle w:val="Level111G1"/>
              <w:rPr>
                <w:sz w:val="32"/>
                <w:szCs w:val="32"/>
              </w:rPr>
            </w:pPr>
          </w:p>
        </w:tc>
        <w:tc>
          <w:tcPr>
            <w:tcW w:w="1001" w:type="dxa"/>
            <w:tcBorders>
              <w:left w:val="single" w:sz="6" w:space="0" w:color="auto"/>
            </w:tcBorders>
          </w:tcPr>
          <w:p w14:paraId="0675A23C" w14:textId="77777777" w:rsidR="00B72890" w:rsidRPr="008B4C71" w:rsidRDefault="00B72890">
            <w:pPr>
              <w:pStyle w:val="Level111G1"/>
              <w:rPr>
                <w:sz w:val="32"/>
                <w:szCs w:val="32"/>
              </w:rPr>
            </w:pPr>
          </w:p>
        </w:tc>
        <w:tc>
          <w:tcPr>
            <w:tcW w:w="1001" w:type="dxa"/>
            <w:tcBorders>
              <w:left w:val="single" w:sz="6" w:space="0" w:color="auto"/>
            </w:tcBorders>
          </w:tcPr>
          <w:p w14:paraId="69DD917D" w14:textId="77777777" w:rsidR="00B72890" w:rsidRPr="008B4C71" w:rsidRDefault="00B72890">
            <w:pPr>
              <w:pStyle w:val="Level111G1"/>
              <w:rPr>
                <w:sz w:val="32"/>
                <w:szCs w:val="32"/>
              </w:rPr>
            </w:pPr>
          </w:p>
        </w:tc>
      </w:tr>
      <w:tr w:rsidR="00B72890" w:rsidRPr="00FB5173" w14:paraId="29A0366E" w14:textId="77777777" w:rsidTr="008D4DC4">
        <w:trPr>
          <w:cantSplit/>
          <w:trHeight w:val="1044"/>
        </w:trPr>
        <w:tc>
          <w:tcPr>
            <w:tcW w:w="6948" w:type="dxa"/>
          </w:tcPr>
          <w:p w14:paraId="0CA7E9C3" w14:textId="77777777" w:rsidR="00B72890" w:rsidRPr="00404F05" w:rsidRDefault="001B1506">
            <w:pPr>
              <w:pStyle w:val="Level2"/>
              <w:widowControl w:val="0"/>
            </w:pPr>
            <w:r w:rsidRPr="00404F05">
              <w:tab/>
              <w:t>.1</w:t>
            </w:r>
            <w:r w:rsidRPr="00404F05">
              <w:tab/>
              <w:t xml:space="preserve">Type of building or development (e.g., shopping </w:t>
            </w:r>
            <w:proofErr w:type="spellStart"/>
            <w:r w:rsidRPr="00404F05">
              <w:t>centre</w:t>
            </w:r>
            <w:proofErr w:type="spellEnd"/>
            <w:r w:rsidRPr="00404F05">
              <w:t>, office, stand-alone, or strata lot).</w:t>
            </w:r>
          </w:p>
        </w:tc>
        <w:tc>
          <w:tcPr>
            <w:tcW w:w="450" w:type="dxa"/>
            <w:tcBorders>
              <w:left w:val="single" w:sz="6" w:space="0" w:color="auto"/>
            </w:tcBorders>
          </w:tcPr>
          <w:p w14:paraId="20BFA4CD" w14:textId="77777777" w:rsidR="00B72890" w:rsidRPr="008B4C71" w:rsidRDefault="00B72890">
            <w:pPr>
              <w:pStyle w:val="Level2"/>
              <w:rPr>
                <w:sz w:val="32"/>
                <w:szCs w:val="32"/>
              </w:rPr>
            </w:pPr>
          </w:p>
        </w:tc>
        <w:tc>
          <w:tcPr>
            <w:tcW w:w="450" w:type="dxa"/>
            <w:tcBorders>
              <w:left w:val="single" w:sz="6" w:space="0" w:color="auto"/>
            </w:tcBorders>
          </w:tcPr>
          <w:p w14:paraId="73220078" w14:textId="77777777" w:rsidR="00B72890" w:rsidRPr="008B4C71" w:rsidRDefault="00B72890">
            <w:pPr>
              <w:pStyle w:val="Level2"/>
              <w:rPr>
                <w:sz w:val="32"/>
                <w:szCs w:val="32"/>
              </w:rPr>
            </w:pPr>
          </w:p>
        </w:tc>
        <w:tc>
          <w:tcPr>
            <w:tcW w:w="450" w:type="dxa"/>
            <w:tcBorders>
              <w:left w:val="single" w:sz="6" w:space="0" w:color="auto"/>
            </w:tcBorders>
          </w:tcPr>
          <w:p w14:paraId="7A78FE0A" w14:textId="77777777" w:rsidR="00B72890" w:rsidRPr="008B4C71" w:rsidRDefault="00B72890">
            <w:pPr>
              <w:pStyle w:val="Level2"/>
              <w:rPr>
                <w:sz w:val="32"/>
                <w:szCs w:val="32"/>
              </w:rPr>
            </w:pPr>
          </w:p>
        </w:tc>
        <w:tc>
          <w:tcPr>
            <w:tcW w:w="1001" w:type="dxa"/>
            <w:tcBorders>
              <w:left w:val="single" w:sz="6" w:space="0" w:color="auto"/>
            </w:tcBorders>
          </w:tcPr>
          <w:p w14:paraId="0EB6CEFB" w14:textId="77777777" w:rsidR="00B72890" w:rsidRPr="008B4C71" w:rsidRDefault="00B72890">
            <w:pPr>
              <w:pStyle w:val="Level2"/>
              <w:rPr>
                <w:sz w:val="32"/>
                <w:szCs w:val="32"/>
              </w:rPr>
            </w:pPr>
          </w:p>
        </w:tc>
        <w:tc>
          <w:tcPr>
            <w:tcW w:w="1001" w:type="dxa"/>
            <w:tcBorders>
              <w:left w:val="single" w:sz="6" w:space="0" w:color="auto"/>
            </w:tcBorders>
          </w:tcPr>
          <w:p w14:paraId="162F24B7" w14:textId="77777777" w:rsidR="00B72890" w:rsidRPr="008B4C71" w:rsidRDefault="00B72890">
            <w:pPr>
              <w:pStyle w:val="Level2"/>
              <w:rPr>
                <w:sz w:val="32"/>
                <w:szCs w:val="32"/>
              </w:rPr>
            </w:pPr>
          </w:p>
        </w:tc>
      </w:tr>
      <w:tr w:rsidR="00B72890" w:rsidRPr="00FB5173" w14:paraId="0D26844B" w14:textId="77777777">
        <w:trPr>
          <w:cantSplit/>
        </w:trPr>
        <w:tc>
          <w:tcPr>
            <w:tcW w:w="6948" w:type="dxa"/>
          </w:tcPr>
          <w:p w14:paraId="0254EB69" w14:textId="77777777" w:rsidR="00B72890" w:rsidRPr="00404F05" w:rsidRDefault="001B1506">
            <w:pPr>
              <w:pStyle w:val="Level2"/>
              <w:widowControl w:val="0"/>
            </w:pPr>
            <w:r w:rsidRPr="00404F05">
              <w:lastRenderedPageBreak/>
              <w:tab/>
              <w:t>.2</w:t>
            </w:r>
            <w:r w:rsidRPr="00404F05">
              <w:tab/>
              <w:t>Whether the building is existing (and, if so, whether there are existing tenants), new, or planned.</w:t>
            </w:r>
          </w:p>
        </w:tc>
        <w:tc>
          <w:tcPr>
            <w:tcW w:w="450" w:type="dxa"/>
            <w:tcBorders>
              <w:left w:val="single" w:sz="6" w:space="0" w:color="auto"/>
            </w:tcBorders>
          </w:tcPr>
          <w:p w14:paraId="0ED7DFA2" w14:textId="77777777" w:rsidR="00B72890" w:rsidRPr="008B4C71" w:rsidRDefault="00B72890">
            <w:pPr>
              <w:pStyle w:val="Level2"/>
              <w:rPr>
                <w:sz w:val="32"/>
                <w:szCs w:val="32"/>
              </w:rPr>
            </w:pPr>
          </w:p>
        </w:tc>
        <w:tc>
          <w:tcPr>
            <w:tcW w:w="450" w:type="dxa"/>
            <w:tcBorders>
              <w:left w:val="single" w:sz="6" w:space="0" w:color="auto"/>
            </w:tcBorders>
          </w:tcPr>
          <w:p w14:paraId="0AAAFE15" w14:textId="77777777" w:rsidR="00B72890" w:rsidRPr="008B4C71" w:rsidRDefault="00B72890">
            <w:pPr>
              <w:pStyle w:val="Level2"/>
              <w:rPr>
                <w:sz w:val="32"/>
                <w:szCs w:val="32"/>
              </w:rPr>
            </w:pPr>
          </w:p>
        </w:tc>
        <w:tc>
          <w:tcPr>
            <w:tcW w:w="450" w:type="dxa"/>
            <w:tcBorders>
              <w:left w:val="single" w:sz="6" w:space="0" w:color="auto"/>
            </w:tcBorders>
          </w:tcPr>
          <w:p w14:paraId="5CE226E5" w14:textId="77777777" w:rsidR="00B72890" w:rsidRPr="008B4C71" w:rsidRDefault="00B72890">
            <w:pPr>
              <w:pStyle w:val="Level2"/>
              <w:rPr>
                <w:sz w:val="32"/>
                <w:szCs w:val="32"/>
              </w:rPr>
            </w:pPr>
          </w:p>
        </w:tc>
        <w:tc>
          <w:tcPr>
            <w:tcW w:w="1001" w:type="dxa"/>
            <w:tcBorders>
              <w:left w:val="single" w:sz="6" w:space="0" w:color="auto"/>
            </w:tcBorders>
          </w:tcPr>
          <w:p w14:paraId="6AFB1307" w14:textId="77777777" w:rsidR="00B72890" w:rsidRPr="008B4C71" w:rsidRDefault="00B72890">
            <w:pPr>
              <w:pStyle w:val="Level2"/>
              <w:rPr>
                <w:sz w:val="32"/>
                <w:szCs w:val="32"/>
              </w:rPr>
            </w:pPr>
          </w:p>
        </w:tc>
        <w:tc>
          <w:tcPr>
            <w:tcW w:w="1001" w:type="dxa"/>
            <w:tcBorders>
              <w:left w:val="single" w:sz="6" w:space="0" w:color="auto"/>
            </w:tcBorders>
          </w:tcPr>
          <w:p w14:paraId="3D15ECB4" w14:textId="77777777" w:rsidR="00B72890" w:rsidRPr="008B4C71" w:rsidRDefault="00B72890">
            <w:pPr>
              <w:pStyle w:val="Level2"/>
              <w:rPr>
                <w:sz w:val="32"/>
                <w:szCs w:val="32"/>
              </w:rPr>
            </w:pPr>
          </w:p>
        </w:tc>
      </w:tr>
      <w:tr w:rsidR="00B72890" w:rsidRPr="00FB5173" w14:paraId="15DC837A" w14:textId="77777777">
        <w:trPr>
          <w:cantSplit/>
          <w:trHeight w:val="801"/>
        </w:trPr>
        <w:tc>
          <w:tcPr>
            <w:tcW w:w="6948" w:type="dxa"/>
          </w:tcPr>
          <w:p w14:paraId="19ADEEFD" w14:textId="77777777" w:rsidR="00B72890" w:rsidRPr="00404F05" w:rsidRDefault="001B1506">
            <w:pPr>
              <w:pStyle w:val="Level2"/>
              <w:widowControl w:val="0"/>
            </w:pPr>
            <w:r w:rsidRPr="00404F05">
              <w:tab/>
              <w:t>.3</w:t>
            </w:r>
            <w:r w:rsidRPr="00404F05">
              <w:tab/>
              <w:t>The type of tenants who are or will be leasing, and whether their leases are or will be similar (if not, the landlord will probably require that the full leases not be registered).</w:t>
            </w:r>
          </w:p>
        </w:tc>
        <w:tc>
          <w:tcPr>
            <w:tcW w:w="450" w:type="dxa"/>
            <w:tcBorders>
              <w:left w:val="single" w:sz="6" w:space="0" w:color="auto"/>
            </w:tcBorders>
          </w:tcPr>
          <w:p w14:paraId="40B62D29" w14:textId="77777777" w:rsidR="00B72890" w:rsidRPr="008B4C71" w:rsidRDefault="00B72890">
            <w:pPr>
              <w:pStyle w:val="Level2"/>
              <w:rPr>
                <w:sz w:val="32"/>
                <w:szCs w:val="32"/>
              </w:rPr>
            </w:pPr>
          </w:p>
        </w:tc>
        <w:tc>
          <w:tcPr>
            <w:tcW w:w="450" w:type="dxa"/>
            <w:tcBorders>
              <w:left w:val="single" w:sz="6" w:space="0" w:color="auto"/>
            </w:tcBorders>
          </w:tcPr>
          <w:p w14:paraId="27EF6226" w14:textId="77777777" w:rsidR="00B72890" w:rsidRPr="008B4C71" w:rsidRDefault="00B72890">
            <w:pPr>
              <w:pStyle w:val="Level2"/>
              <w:rPr>
                <w:sz w:val="32"/>
                <w:szCs w:val="32"/>
              </w:rPr>
            </w:pPr>
          </w:p>
        </w:tc>
        <w:tc>
          <w:tcPr>
            <w:tcW w:w="450" w:type="dxa"/>
            <w:tcBorders>
              <w:left w:val="single" w:sz="6" w:space="0" w:color="auto"/>
            </w:tcBorders>
          </w:tcPr>
          <w:p w14:paraId="259526FF" w14:textId="77777777" w:rsidR="00B72890" w:rsidRPr="008B4C71" w:rsidRDefault="00B72890">
            <w:pPr>
              <w:pStyle w:val="Level2"/>
              <w:rPr>
                <w:sz w:val="32"/>
                <w:szCs w:val="32"/>
              </w:rPr>
            </w:pPr>
          </w:p>
        </w:tc>
        <w:tc>
          <w:tcPr>
            <w:tcW w:w="1001" w:type="dxa"/>
            <w:tcBorders>
              <w:left w:val="single" w:sz="6" w:space="0" w:color="auto"/>
            </w:tcBorders>
          </w:tcPr>
          <w:p w14:paraId="6605BA49" w14:textId="77777777" w:rsidR="00B72890" w:rsidRPr="008B4C71" w:rsidRDefault="00B72890">
            <w:pPr>
              <w:pStyle w:val="Level2"/>
              <w:rPr>
                <w:sz w:val="32"/>
                <w:szCs w:val="32"/>
              </w:rPr>
            </w:pPr>
          </w:p>
        </w:tc>
        <w:tc>
          <w:tcPr>
            <w:tcW w:w="1001" w:type="dxa"/>
            <w:tcBorders>
              <w:left w:val="single" w:sz="6" w:space="0" w:color="auto"/>
            </w:tcBorders>
          </w:tcPr>
          <w:p w14:paraId="04C85E76" w14:textId="77777777" w:rsidR="00B72890" w:rsidRPr="008B4C71" w:rsidRDefault="00B72890">
            <w:pPr>
              <w:pStyle w:val="Level2"/>
              <w:rPr>
                <w:sz w:val="32"/>
                <w:szCs w:val="32"/>
              </w:rPr>
            </w:pPr>
          </w:p>
        </w:tc>
      </w:tr>
      <w:tr w:rsidR="00B72890" w:rsidRPr="00FB5173" w14:paraId="68227C7E" w14:textId="77777777" w:rsidTr="008D4DC4">
        <w:trPr>
          <w:cantSplit/>
          <w:trHeight w:val="1026"/>
        </w:trPr>
        <w:tc>
          <w:tcPr>
            <w:tcW w:w="6948" w:type="dxa"/>
          </w:tcPr>
          <w:p w14:paraId="47AC920C" w14:textId="77777777" w:rsidR="00B72890" w:rsidRPr="00404F05" w:rsidRDefault="001B1506">
            <w:pPr>
              <w:pStyle w:val="Level2"/>
            </w:pPr>
            <w:r w:rsidRPr="00404F05">
              <w:tab/>
              <w:t>.4</w:t>
            </w:r>
            <w:r w:rsidRPr="00404F05">
              <w:tab/>
              <w:t>The landlord’s costs, including which costs the landlord will absorb and which are to be recovered from the tenants (e.g., is the lease to be on a completely net basis? Who is responsible to pay for structural or capital replacements or repairs?)</w:t>
            </w:r>
          </w:p>
        </w:tc>
        <w:tc>
          <w:tcPr>
            <w:tcW w:w="450" w:type="dxa"/>
            <w:tcBorders>
              <w:left w:val="single" w:sz="6" w:space="0" w:color="auto"/>
            </w:tcBorders>
          </w:tcPr>
          <w:p w14:paraId="426BAF13" w14:textId="77777777" w:rsidR="00B72890" w:rsidRPr="008B4C71" w:rsidRDefault="00B72890">
            <w:pPr>
              <w:pStyle w:val="Level2"/>
              <w:rPr>
                <w:sz w:val="32"/>
                <w:szCs w:val="32"/>
              </w:rPr>
            </w:pPr>
          </w:p>
        </w:tc>
        <w:tc>
          <w:tcPr>
            <w:tcW w:w="450" w:type="dxa"/>
            <w:tcBorders>
              <w:left w:val="single" w:sz="6" w:space="0" w:color="auto"/>
            </w:tcBorders>
          </w:tcPr>
          <w:p w14:paraId="38284824" w14:textId="77777777" w:rsidR="00B72890" w:rsidRPr="008B4C71" w:rsidRDefault="00B72890">
            <w:pPr>
              <w:pStyle w:val="Level2"/>
              <w:rPr>
                <w:sz w:val="32"/>
                <w:szCs w:val="32"/>
              </w:rPr>
            </w:pPr>
          </w:p>
        </w:tc>
        <w:tc>
          <w:tcPr>
            <w:tcW w:w="450" w:type="dxa"/>
            <w:tcBorders>
              <w:left w:val="single" w:sz="6" w:space="0" w:color="auto"/>
            </w:tcBorders>
          </w:tcPr>
          <w:p w14:paraId="7C64578E" w14:textId="77777777" w:rsidR="00B72890" w:rsidRPr="008B4C71" w:rsidRDefault="00B72890">
            <w:pPr>
              <w:pStyle w:val="Level2"/>
              <w:rPr>
                <w:sz w:val="32"/>
                <w:szCs w:val="32"/>
              </w:rPr>
            </w:pPr>
          </w:p>
        </w:tc>
        <w:tc>
          <w:tcPr>
            <w:tcW w:w="1001" w:type="dxa"/>
            <w:tcBorders>
              <w:left w:val="single" w:sz="6" w:space="0" w:color="auto"/>
            </w:tcBorders>
          </w:tcPr>
          <w:p w14:paraId="307FD18E" w14:textId="77777777" w:rsidR="00B72890" w:rsidRPr="008B4C71" w:rsidRDefault="00B72890">
            <w:pPr>
              <w:pStyle w:val="Level2"/>
              <w:rPr>
                <w:sz w:val="32"/>
                <w:szCs w:val="32"/>
              </w:rPr>
            </w:pPr>
          </w:p>
        </w:tc>
        <w:tc>
          <w:tcPr>
            <w:tcW w:w="1001" w:type="dxa"/>
            <w:tcBorders>
              <w:left w:val="single" w:sz="6" w:space="0" w:color="auto"/>
            </w:tcBorders>
          </w:tcPr>
          <w:p w14:paraId="32970EE0" w14:textId="77777777" w:rsidR="00B72890" w:rsidRPr="008B4C71" w:rsidRDefault="00B72890">
            <w:pPr>
              <w:pStyle w:val="Level2"/>
              <w:rPr>
                <w:sz w:val="32"/>
                <w:szCs w:val="32"/>
              </w:rPr>
            </w:pPr>
          </w:p>
        </w:tc>
      </w:tr>
      <w:tr w:rsidR="00B72890" w:rsidRPr="00FB5173" w14:paraId="7C4931C2" w14:textId="77777777" w:rsidTr="008B4C71">
        <w:trPr>
          <w:cantSplit/>
          <w:trHeight w:val="981"/>
        </w:trPr>
        <w:tc>
          <w:tcPr>
            <w:tcW w:w="6948" w:type="dxa"/>
          </w:tcPr>
          <w:p w14:paraId="0E0ED4CE" w14:textId="77777777" w:rsidR="00B72890" w:rsidRPr="00404F05" w:rsidRDefault="001B1506">
            <w:pPr>
              <w:pStyle w:val="Level2"/>
            </w:pPr>
            <w:r w:rsidRPr="00404F05">
              <w:tab/>
              <w:t>.5</w:t>
            </w:r>
            <w:r w:rsidRPr="00404F05">
              <w:tab/>
              <w:t>The way in which amounts (e.g., rent, costs) payable by each tenant are to be determined and allocated. Consider whether a particular tenant’s consumption may be high (e.g., a fast food outlet’s garbage output or restaurant’s water usage) and require allocation based on consumption.</w:t>
            </w:r>
          </w:p>
        </w:tc>
        <w:tc>
          <w:tcPr>
            <w:tcW w:w="450" w:type="dxa"/>
            <w:tcBorders>
              <w:left w:val="single" w:sz="6" w:space="0" w:color="auto"/>
            </w:tcBorders>
          </w:tcPr>
          <w:p w14:paraId="6A068CF2" w14:textId="77777777" w:rsidR="00B72890" w:rsidRPr="008B4C71" w:rsidRDefault="00B72890">
            <w:pPr>
              <w:pStyle w:val="Level2"/>
              <w:rPr>
                <w:sz w:val="32"/>
                <w:szCs w:val="32"/>
              </w:rPr>
            </w:pPr>
          </w:p>
        </w:tc>
        <w:tc>
          <w:tcPr>
            <w:tcW w:w="450" w:type="dxa"/>
            <w:tcBorders>
              <w:left w:val="single" w:sz="6" w:space="0" w:color="auto"/>
            </w:tcBorders>
          </w:tcPr>
          <w:p w14:paraId="1859FCE7" w14:textId="77777777" w:rsidR="00B72890" w:rsidRPr="008B4C71" w:rsidRDefault="00B72890">
            <w:pPr>
              <w:pStyle w:val="Level2"/>
              <w:rPr>
                <w:sz w:val="32"/>
                <w:szCs w:val="32"/>
              </w:rPr>
            </w:pPr>
          </w:p>
        </w:tc>
        <w:tc>
          <w:tcPr>
            <w:tcW w:w="450" w:type="dxa"/>
            <w:tcBorders>
              <w:left w:val="single" w:sz="6" w:space="0" w:color="auto"/>
            </w:tcBorders>
          </w:tcPr>
          <w:p w14:paraId="4F47ED5A" w14:textId="77777777" w:rsidR="00B72890" w:rsidRPr="008B4C71" w:rsidRDefault="00B72890">
            <w:pPr>
              <w:pStyle w:val="Level2"/>
              <w:rPr>
                <w:sz w:val="32"/>
                <w:szCs w:val="32"/>
              </w:rPr>
            </w:pPr>
          </w:p>
        </w:tc>
        <w:tc>
          <w:tcPr>
            <w:tcW w:w="1001" w:type="dxa"/>
            <w:tcBorders>
              <w:left w:val="single" w:sz="6" w:space="0" w:color="auto"/>
            </w:tcBorders>
          </w:tcPr>
          <w:p w14:paraId="156981D2" w14:textId="77777777" w:rsidR="00B72890" w:rsidRPr="008B4C71" w:rsidRDefault="00B72890">
            <w:pPr>
              <w:pStyle w:val="Level2"/>
              <w:rPr>
                <w:sz w:val="32"/>
                <w:szCs w:val="32"/>
              </w:rPr>
            </w:pPr>
          </w:p>
        </w:tc>
        <w:tc>
          <w:tcPr>
            <w:tcW w:w="1001" w:type="dxa"/>
            <w:tcBorders>
              <w:left w:val="single" w:sz="6" w:space="0" w:color="auto"/>
            </w:tcBorders>
          </w:tcPr>
          <w:p w14:paraId="0BA60CE4" w14:textId="77777777" w:rsidR="00B72890" w:rsidRPr="008B4C71" w:rsidRDefault="00B72890">
            <w:pPr>
              <w:pStyle w:val="Level2"/>
              <w:rPr>
                <w:sz w:val="32"/>
                <w:szCs w:val="32"/>
              </w:rPr>
            </w:pPr>
          </w:p>
        </w:tc>
      </w:tr>
      <w:tr w:rsidR="00B72890" w:rsidRPr="00FB5173" w14:paraId="5CF50692" w14:textId="77777777">
        <w:trPr>
          <w:cantSplit/>
        </w:trPr>
        <w:tc>
          <w:tcPr>
            <w:tcW w:w="6948" w:type="dxa"/>
          </w:tcPr>
          <w:p w14:paraId="1F06E2C1" w14:textId="7D214DA4" w:rsidR="00B72890" w:rsidRPr="00404F05" w:rsidRDefault="001B1506">
            <w:pPr>
              <w:pStyle w:val="Level2"/>
            </w:pPr>
            <w:r w:rsidRPr="00404F05">
              <w:tab/>
              <w:t>.6</w:t>
            </w:r>
            <w:r w:rsidRPr="00404F05">
              <w:tab/>
              <w:t>What will the term of the lease be? Will there be any renewal or extension rights, if there are, what are the conditions to the exercise of such rights? During any renewal or extension, will the terms of the lease remain the same or are there certain revisions that should be expressly set out (e.g.</w:t>
            </w:r>
            <w:r w:rsidR="00EA2A01">
              <w:t>,</w:t>
            </w:r>
            <w:r w:rsidRPr="00404F05">
              <w:t xml:space="preserve"> fixturing periods, rent free periods</w:t>
            </w:r>
            <w:r w:rsidR="00404F05">
              <w:t>,</w:t>
            </w:r>
            <w:r w:rsidRPr="00404F05">
              <w:t xml:space="preserve"> or any other inducements)?</w:t>
            </w:r>
          </w:p>
        </w:tc>
        <w:tc>
          <w:tcPr>
            <w:tcW w:w="450" w:type="dxa"/>
            <w:tcBorders>
              <w:left w:val="single" w:sz="6" w:space="0" w:color="auto"/>
            </w:tcBorders>
          </w:tcPr>
          <w:p w14:paraId="6635C294" w14:textId="77777777" w:rsidR="00B72890" w:rsidRPr="008B4C71" w:rsidRDefault="00B72890">
            <w:pPr>
              <w:pStyle w:val="Level2"/>
              <w:rPr>
                <w:sz w:val="32"/>
                <w:szCs w:val="32"/>
              </w:rPr>
            </w:pPr>
          </w:p>
        </w:tc>
        <w:tc>
          <w:tcPr>
            <w:tcW w:w="450" w:type="dxa"/>
            <w:tcBorders>
              <w:left w:val="single" w:sz="6" w:space="0" w:color="auto"/>
            </w:tcBorders>
          </w:tcPr>
          <w:p w14:paraId="37769802" w14:textId="77777777" w:rsidR="00B72890" w:rsidRPr="008B4C71" w:rsidRDefault="00B72890">
            <w:pPr>
              <w:pStyle w:val="Level2"/>
              <w:rPr>
                <w:sz w:val="32"/>
                <w:szCs w:val="32"/>
              </w:rPr>
            </w:pPr>
          </w:p>
        </w:tc>
        <w:tc>
          <w:tcPr>
            <w:tcW w:w="450" w:type="dxa"/>
            <w:tcBorders>
              <w:left w:val="single" w:sz="6" w:space="0" w:color="auto"/>
            </w:tcBorders>
          </w:tcPr>
          <w:p w14:paraId="5BB26250" w14:textId="77777777" w:rsidR="00B72890" w:rsidRPr="008B4C71" w:rsidRDefault="00B72890">
            <w:pPr>
              <w:pStyle w:val="Level2"/>
              <w:rPr>
                <w:sz w:val="32"/>
                <w:szCs w:val="32"/>
              </w:rPr>
            </w:pPr>
          </w:p>
        </w:tc>
        <w:tc>
          <w:tcPr>
            <w:tcW w:w="1001" w:type="dxa"/>
            <w:tcBorders>
              <w:left w:val="single" w:sz="6" w:space="0" w:color="auto"/>
            </w:tcBorders>
          </w:tcPr>
          <w:p w14:paraId="65726BE1" w14:textId="77777777" w:rsidR="00B72890" w:rsidRPr="008B4C71" w:rsidRDefault="00B72890">
            <w:pPr>
              <w:pStyle w:val="Level2"/>
              <w:rPr>
                <w:sz w:val="32"/>
                <w:szCs w:val="32"/>
              </w:rPr>
            </w:pPr>
          </w:p>
        </w:tc>
        <w:tc>
          <w:tcPr>
            <w:tcW w:w="1001" w:type="dxa"/>
            <w:tcBorders>
              <w:left w:val="single" w:sz="6" w:space="0" w:color="auto"/>
            </w:tcBorders>
          </w:tcPr>
          <w:p w14:paraId="71A18840" w14:textId="77777777" w:rsidR="00B72890" w:rsidRPr="008B4C71" w:rsidRDefault="00B72890">
            <w:pPr>
              <w:pStyle w:val="Level2"/>
              <w:rPr>
                <w:sz w:val="32"/>
                <w:szCs w:val="32"/>
              </w:rPr>
            </w:pPr>
          </w:p>
        </w:tc>
      </w:tr>
      <w:tr w:rsidR="00B72890" w:rsidRPr="00FB5173" w14:paraId="3724EA21" w14:textId="77777777">
        <w:trPr>
          <w:cantSplit/>
        </w:trPr>
        <w:tc>
          <w:tcPr>
            <w:tcW w:w="6948" w:type="dxa"/>
          </w:tcPr>
          <w:p w14:paraId="3F09EAAD" w14:textId="77777777" w:rsidR="00B72890" w:rsidRPr="00404F05" w:rsidRDefault="001B1506">
            <w:pPr>
              <w:pStyle w:val="Level2"/>
            </w:pPr>
            <w:r w:rsidRPr="00404F05">
              <w:tab/>
            </w:r>
            <w:r w:rsidRPr="00404F05">
              <w:tab/>
              <w:t>Consider and address how rent will be determined for any renewal or extension terms (e.g., will it be based on fair market rent of a premise of similar size, condition and location? Are there any leasehold or tenant improvements that should be excluded from the calculation of fair market rent?).</w:t>
            </w:r>
          </w:p>
        </w:tc>
        <w:tc>
          <w:tcPr>
            <w:tcW w:w="450" w:type="dxa"/>
            <w:tcBorders>
              <w:left w:val="single" w:sz="6" w:space="0" w:color="auto"/>
            </w:tcBorders>
          </w:tcPr>
          <w:p w14:paraId="7A7CCE4E" w14:textId="77777777" w:rsidR="00B72890" w:rsidRPr="008B4C71" w:rsidRDefault="00B72890">
            <w:pPr>
              <w:pStyle w:val="Level2"/>
              <w:rPr>
                <w:sz w:val="32"/>
                <w:szCs w:val="32"/>
              </w:rPr>
            </w:pPr>
          </w:p>
        </w:tc>
        <w:tc>
          <w:tcPr>
            <w:tcW w:w="450" w:type="dxa"/>
            <w:tcBorders>
              <w:left w:val="single" w:sz="6" w:space="0" w:color="auto"/>
            </w:tcBorders>
          </w:tcPr>
          <w:p w14:paraId="21036FEA" w14:textId="77777777" w:rsidR="00B72890" w:rsidRPr="008B4C71" w:rsidRDefault="00B72890">
            <w:pPr>
              <w:pStyle w:val="Level2"/>
              <w:rPr>
                <w:sz w:val="32"/>
                <w:szCs w:val="32"/>
              </w:rPr>
            </w:pPr>
          </w:p>
        </w:tc>
        <w:tc>
          <w:tcPr>
            <w:tcW w:w="450" w:type="dxa"/>
            <w:tcBorders>
              <w:left w:val="single" w:sz="6" w:space="0" w:color="auto"/>
            </w:tcBorders>
          </w:tcPr>
          <w:p w14:paraId="1BE914F0" w14:textId="77777777" w:rsidR="00B72890" w:rsidRPr="008B4C71" w:rsidRDefault="00B72890">
            <w:pPr>
              <w:pStyle w:val="Level2"/>
              <w:rPr>
                <w:sz w:val="32"/>
                <w:szCs w:val="32"/>
              </w:rPr>
            </w:pPr>
          </w:p>
        </w:tc>
        <w:tc>
          <w:tcPr>
            <w:tcW w:w="1001" w:type="dxa"/>
            <w:tcBorders>
              <w:left w:val="single" w:sz="6" w:space="0" w:color="auto"/>
            </w:tcBorders>
          </w:tcPr>
          <w:p w14:paraId="57D5061D" w14:textId="77777777" w:rsidR="00B72890" w:rsidRPr="008B4C71" w:rsidRDefault="00B72890">
            <w:pPr>
              <w:pStyle w:val="Level2"/>
              <w:rPr>
                <w:sz w:val="32"/>
                <w:szCs w:val="32"/>
              </w:rPr>
            </w:pPr>
          </w:p>
        </w:tc>
        <w:tc>
          <w:tcPr>
            <w:tcW w:w="1001" w:type="dxa"/>
            <w:tcBorders>
              <w:left w:val="single" w:sz="6" w:space="0" w:color="auto"/>
            </w:tcBorders>
          </w:tcPr>
          <w:p w14:paraId="225878F4" w14:textId="77777777" w:rsidR="00B72890" w:rsidRPr="008B4C71" w:rsidRDefault="00B72890">
            <w:pPr>
              <w:pStyle w:val="Level2"/>
              <w:rPr>
                <w:sz w:val="32"/>
                <w:szCs w:val="32"/>
              </w:rPr>
            </w:pPr>
          </w:p>
        </w:tc>
      </w:tr>
      <w:tr w:rsidR="00B72890" w:rsidRPr="00FB5173" w14:paraId="4DE3A245" w14:textId="77777777">
        <w:trPr>
          <w:cantSplit/>
          <w:trHeight w:val="1044"/>
        </w:trPr>
        <w:tc>
          <w:tcPr>
            <w:tcW w:w="6948" w:type="dxa"/>
          </w:tcPr>
          <w:p w14:paraId="1E36C464" w14:textId="77777777" w:rsidR="00B72890" w:rsidRPr="00404F05" w:rsidRDefault="001B1506">
            <w:pPr>
              <w:pStyle w:val="Level2"/>
            </w:pPr>
            <w:r w:rsidRPr="00404F05">
              <w:tab/>
              <w:t>.7</w:t>
            </w:r>
            <w:r w:rsidRPr="00404F05">
              <w:tab/>
              <w:t>Who is responsible to undertake what maintenance, repairs, and replacements (e.g., landlord is responsible to make structural repairs, and repairs of common areas)? Consider limitations if it is strata property, given requirements for strata corporation to deal with common property. (See item 2.6.14 in this checklist.)</w:t>
            </w:r>
          </w:p>
        </w:tc>
        <w:tc>
          <w:tcPr>
            <w:tcW w:w="450" w:type="dxa"/>
            <w:tcBorders>
              <w:left w:val="single" w:sz="6" w:space="0" w:color="auto"/>
            </w:tcBorders>
          </w:tcPr>
          <w:p w14:paraId="3618DFFC" w14:textId="77777777" w:rsidR="00B72890" w:rsidRPr="008B4C71" w:rsidRDefault="00B72890">
            <w:pPr>
              <w:pStyle w:val="Level2"/>
              <w:rPr>
                <w:sz w:val="32"/>
                <w:szCs w:val="32"/>
              </w:rPr>
            </w:pPr>
          </w:p>
        </w:tc>
        <w:tc>
          <w:tcPr>
            <w:tcW w:w="450" w:type="dxa"/>
            <w:tcBorders>
              <w:left w:val="single" w:sz="6" w:space="0" w:color="auto"/>
            </w:tcBorders>
          </w:tcPr>
          <w:p w14:paraId="73558E1A" w14:textId="77777777" w:rsidR="00B72890" w:rsidRPr="008B4C71" w:rsidRDefault="00B72890">
            <w:pPr>
              <w:pStyle w:val="Level2"/>
              <w:rPr>
                <w:sz w:val="32"/>
                <w:szCs w:val="32"/>
              </w:rPr>
            </w:pPr>
          </w:p>
        </w:tc>
        <w:tc>
          <w:tcPr>
            <w:tcW w:w="450" w:type="dxa"/>
            <w:tcBorders>
              <w:left w:val="single" w:sz="6" w:space="0" w:color="auto"/>
            </w:tcBorders>
          </w:tcPr>
          <w:p w14:paraId="34396731" w14:textId="77777777" w:rsidR="00B72890" w:rsidRPr="008B4C71" w:rsidRDefault="00B72890">
            <w:pPr>
              <w:pStyle w:val="Level2"/>
              <w:rPr>
                <w:sz w:val="32"/>
                <w:szCs w:val="32"/>
              </w:rPr>
            </w:pPr>
          </w:p>
        </w:tc>
        <w:tc>
          <w:tcPr>
            <w:tcW w:w="1001" w:type="dxa"/>
            <w:tcBorders>
              <w:left w:val="single" w:sz="6" w:space="0" w:color="auto"/>
            </w:tcBorders>
          </w:tcPr>
          <w:p w14:paraId="1938A46F" w14:textId="77777777" w:rsidR="00B72890" w:rsidRPr="008B4C71" w:rsidRDefault="00B72890">
            <w:pPr>
              <w:pStyle w:val="Level2"/>
              <w:rPr>
                <w:sz w:val="32"/>
                <w:szCs w:val="32"/>
              </w:rPr>
            </w:pPr>
          </w:p>
        </w:tc>
        <w:tc>
          <w:tcPr>
            <w:tcW w:w="1001" w:type="dxa"/>
            <w:tcBorders>
              <w:left w:val="single" w:sz="6" w:space="0" w:color="auto"/>
            </w:tcBorders>
          </w:tcPr>
          <w:p w14:paraId="2D0903CD" w14:textId="77777777" w:rsidR="00B72890" w:rsidRPr="008B4C71" w:rsidRDefault="00B72890">
            <w:pPr>
              <w:pStyle w:val="Level2"/>
              <w:rPr>
                <w:sz w:val="32"/>
                <w:szCs w:val="32"/>
              </w:rPr>
            </w:pPr>
          </w:p>
        </w:tc>
      </w:tr>
      <w:tr w:rsidR="00B72890" w:rsidRPr="00FB5173" w14:paraId="6DB3E2AD" w14:textId="77777777">
        <w:trPr>
          <w:cantSplit/>
        </w:trPr>
        <w:tc>
          <w:tcPr>
            <w:tcW w:w="6948" w:type="dxa"/>
          </w:tcPr>
          <w:p w14:paraId="30D4FFE4" w14:textId="77777777" w:rsidR="00B72890" w:rsidRPr="00404F05" w:rsidRDefault="001B1506">
            <w:pPr>
              <w:pStyle w:val="Level2"/>
            </w:pPr>
            <w:r w:rsidRPr="00404F05">
              <w:tab/>
              <w:t>.8</w:t>
            </w:r>
            <w:r w:rsidRPr="00404F05">
              <w:tab/>
              <w:t>Financing arrangements and lender’s requirements. If the landlord has not yet obtained financing, consider provisions allowing for cancellation if they fail to do so. Inquire as to what terms, if any, the lender requires in the landlord’s leases and whether the lender will agree to provide a Non-Disturbance Agreement. (If acting for a tenant, consider whether the tenant intends to mortgage the lease and the requirements of the tenant’s lender.)</w:t>
            </w:r>
          </w:p>
        </w:tc>
        <w:tc>
          <w:tcPr>
            <w:tcW w:w="450" w:type="dxa"/>
            <w:tcBorders>
              <w:left w:val="single" w:sz="6" w:space="0" w:color="auto"/>
            </w:tcBorders>
          </w:tcPr>
          <w:p w14:paraId="7669AAF6" w14:textId="77777777" w:rsidR="00B72890" w:rsidRPr="008B4C71" w:rsidRDefault="00B72890">
            <w:pPr>
              <w:pStyle w:val="Level2"/>
              <w:rPr>
                <w:sz w:val="32"/>
                <w:szCs w:val="32"/>
              </w:rPr>
            </w:pPr>
          </w:p>
        </w:tc>
        <w:tc>
          <w:tcPr>
            <w:tcW w:w="450" w:type="dxa"/>
            <w:tcBorders>
              <w:left w:val="single" w:sz="6" w:space="0" w:color="auto"/>
            </w:tcBorders>
          </w:tcPr>
          <w:p w14:paraId="4ED0971A" w14:textId="77777777" w:rsidR="00B72890" w:rsidRPr="008B4C71" w:rsidRDefault="00B72890">
            <w:pPr>
              <w:pStyle w:val="Level2"/>
              <w:rPr>
                <w:sz w:val="32"/>
                <w:szCs w:val="32"/>
              </w:rPr>
            </w:pPr>
          </w:p>
        </w:tc>
        <w:tc>
          <w:tcPr>
            <w:tcW w:w="450" w:type="dxa"/>
            <w:tcBorders>
              <w:left w:val="single" w:sz="6" w:space="0" w:color="auto"/>
            </w:tcBorders>
          </w:tcPr>
          <w:p w14:paraId="3341A47A" w14:textId="77777777" w:rsidR="00B72890" w:rsidRPr="008B4C71" w:rsidRDefault="00B72890">
            <w:pPr>
              <w:pStyle w:val="Level2"/>
              <w:rPr>
                <w:sz w:val="32"/>
                <w:szCs w:val="32"/>
              </w:rPr>
            </w:pPr>
          </w:p>
        </w:tc>
        <w:tc>
          <w:tcPr>
            <w:tcW w:w="1001" w:type="dxa"/>
            <w:tcBorders>
              <w:left w:val="single" w:sz="6" w:space="0" w:color="auto"/>
            </w:tcBorders>
          </w:tcPr>
          <w:p w14:paraId="784FA29A" w14:textId="77777777" w:rsidR="00B72890" w:rsidRPr="008B4C71" w:rsidRDefault="00B72890">
            <w:pPr>
              <w:pStyle w:val="Level2"/>
              <w:rPr>
                <w:sz w:val="32"/>
                <w:szCs w:val="32"/>
              </w:rPr>
            </w:pPr>
          </w:p>
        </w:tc>
        <w:tc>
          <w:tcPr>
            <w:tcW w:w="1001" w:type="dxa"/>
            <w:tcBorders>
              <w:left w:val="single" w:sz="6" w:space="0" w:color="auto"/>
            </w:tcBorders>
          </w:tcPr>
          <w:p w14:paraId="221DD653" w14:textId="77777777" w:rsidR="00B72890" w:rsidRPr="008B4C71" w:rsidRDefault="00B72890">
            <w:pPr>
              <w:pStyle w:val="Level2"/>
              <w:rPr>
                <w:sz w:val="32"/>
                <w:szCs w:val="32"/>
              </w:rPr>
            </w:pPr>
          </w:p>
        </w:tc>
      </w:tr>
      <w:tr w:rsidR="00B72890" w:rsidRPr="00FB5173" w14:paraId="10ADD38A" w14:textId="77777777" w:rsidTr="00C460CF">
        <w:trPr>
          <w:cantSplit/>
          <w:trHeight w:val="306"/>
        </w:trPr>
        <w:tc>
          <w:tcPr>
            <w:tcW w:w="6948" w:type="dxa"/>
          </w:tcPr>
          <w:p w14:paraId="290BED5A" w14:textId="77777777" w:rsidR="00B72890" w:rsidRPr="00404F05" w:rsidRDefault="001B1506" w:rsidP="008B4C71">
            <w:pPr>
              <w:pStyle w:val="Level2"/>
              <w:spacing w:after="0"/>
              <w:ind w:left="1166" w:hanging="1166"/>
            </w:pPr>
            <w:r w:rsidRPr="00404F05">
              <w:tab/>
              <w:t>.9</w:t>
            </w:r>
            <w:r w:rsidRPr="00404F05">
              <w:tab/>
              <w:t>Insurer’s requirements.</w:t>
            </w:r>
          </w:p>
        </w:tc>
        <w:tc>
          <w:tcPr>
            <w:tcW w:w="450" w:type="dxa"/>
            <w:tcBorders>
              <w:left w:val="single" w:sz="6" w:space="0" w:color="auto"/>
            </w:tcBorders>
          </w:tcPr>
          <w:p w14:paraId="499D5BC1" w14:textId="77777777" w:rsidR="00B72890" w:rsidRPr="008B4C71" w:rsidRDefault="00B72890" w:rsidP="008B4C71">
            <w:pPr>
              <w:pStyle w:val="Level2"/>
              <w:spacing w:after="0"/>
              <w:rPr>
                <w:sz w:val="32"/>
                <w:szCs w:val="32"/>
              </w:rPr>
            </w:pPr>
          </w:p>
        </w:tc>
        <w:tc>
          <w:tcPr>
            <w:tcW w:w="450" w:type="dxa"/>
            <w:tcBorders>
              <w:left w:val="single" w:sz="6" w:space="0" w:color="auto"/>
            </w:tcBorders>
          </w:tcPr>
          <w:p w14:paraId="34D5CE96" w14:textId="77777777" w:rsidR="00B72890" w:rsidRPr="008B4C71" w:rsidRDefault="00B72890" w:rsidP="008B4C71">
            <w:pPr>
              <w:pStyle w:val="Level2"/>
              <w:spacing w:after="0"/>
              <w:rPr>
                <w:sz w:val="32"/>
                <w:szCs w:val="32"/>
              </w:rPr>
            </w:pPr>
          </w:p>
        </w:tc>
        <w:tc>
          <w:tcPr>
            <w:tcW w:w="450" w:type="dxa"/>
            <w:tcBorders>
              <w:left w:val="single" w:sz="6" w:space="0" w:color="auto"/>
            </w:tcBorders>
          </w:tcPr>
          <w:p w14:paraId="0963114F" w14:textId="77777777" w:rsidR="00B72890" w:rsidRPr="008B4C71" w:rsidRDefault="00B72890" w:rsidP="008B4C71">
            <w:pPr>
              <w:pStyle w:val="Level2"/>
              <w:spacing w:after="0"/>
              <w:rPr>
                <w:sz w:val="32"/>
                <w:szCs w:val="32"/>
              </w:rPr>
            </w:pPr>
          </w:p>
        </w:tc>
        <w:tc>
          <w:tcPr>
            <w:tcW w:w="1001" w:type="dxa"/>
            <w:tcBorders>
              <w:left w:val="single" w:sz="6" w:space="0" w:color="auto"/>
            </w:tcBorders>
          </w:tcPr>
          <w:p w14:paraId="389BBBBF" w14:textId="77777777" w:rsidR="00B72890" w:rsidRPr="008B4C71" w:rsidRDefault="00B72890" w:rsidP="008B4C71">
            <w:pPr>
              <w:pStyle w:val="Level2"/>
              <w:spacing w:after="0"/>
              <w:rPr>
                <w:sz w:val="32"/>
                <w:szCs w:val="32"/>
              </w:rPr>
            </w:pPr>
          </w:p>
        </w:tc>
        <w:tc>
          <w:tcPr>
            <w:tcW w:w="1001" w:type="dxa"/>
            <w:tcBorders>
              <w:left w:val="single" w:sz="6" w:space="0" w:color="auto"/>
            </w:tcBorders>
          </w:tcPr>
          <w:p w14:paraId="497E6321" w14:textId="77777777" w:rsidR="00B72890" w:rsidRPr="008B4C71" w:rsidRDefault="00B72890" w:rsidP="008B4C71">
            <w:pPr>
              <w:pStyle w:val="Level2"/>
              <w:spacing w:after="0"/>
              <w:rPr>
                <w:sz w:val="32"/>
                <w:szCs w:val="32"/>
              </w:rPr>
            </w:pPr>
          </w:p>
        </w:tc>
      </w:tr>
      <w:tr w:rsidR="00B72890" w:rsidRPr="00FB5173" w14:paraId="17F836A7" w14:textId="77777777" w:rsidTr="008D4DC4">
        <w:trPr>
          <w:cantSplit/>
          <w:trHeight w:val="387"/>
        </w:trPr>
        <w:tc>
          <w:tcPr>
            <w:tcW w:w="6948" w:type="dxa"/>
          </w:tcPr>
          <w:p w14:paraId="779913D8" w14:textId="77777777" w:rsidR="00B72890" w:rsidRPr="00404F05" w:rsidRDefault="001B1506" w:rsidP="008D4DC4">
            <w:pPr>
              <w:pStyle w:val="Level2"/>
              <w:spacing w:before="0" w:after="0"/>
              <w:ind w:left="1166" w:hanging="1166"/>
            </w:pPr>
            <w:r w:rsidRPr="00404F05">
              <w:tab/>
              <w:t>.10</w:t>
            </w:r>
            <w:r w:rsidRPr="00404F05">
              <w:tab/>
              <w:t>Whether estoppel certificates are required.</w:t>
            </w:r>
          </w:p>
        </w:tc>
        <w:tc>
          <w:tcPr>
            <w:tcW w:w="450" w:type="dxa"/>
            <w:tcBorders>
              <w:left w:val="single" w:sz="6" w:space="0" w:color="auto"/>
            </w:tcBorders>
          </w:tcPr>
          <w:p w14:paraId="469B46F2" w14:textId="77777777" w:rsidR="00B72890" w:rsidRPr="008B4C71" w:rsidRDefault="00B72890" w:rsidP="008D4DC4">
            <w:pPr>
              <w:pStyle w:val="Level2"/>
              <w:spacing w:before="0" w:after="0"/>
              <w:ind w:left="1166" w:hanging="1166"/>
              <w:rPr>
                <w:sz w:val="32"/>
                <w:szCs w:val="32"/>
              </w:rPr>
            </w:pPr>
          </w:p>
        </w:tc>
        <w:tc>
          <w:tcPr>
            <w:tcW w:w="450" w:type="dxa"/>
            <w:tcBorders>
              <w:left w:val="single" w:sz="6" w:space="0" w:color="auto"/>
            </w:tcBorders>
          </w:tcPr>
          <w:p w14:paraId="4DFD86F5" w14:textId="77777777" w:rsidR="00B72890" w:rsidRPr="008B4C71" w:rsidRDefault="00B72890" w:rsidP="008D4DC4">
            <w:pPr>
              <w:pStyle w:val="Level2"/>
              <w:spacing w:before="0" w:after="0"/>
              <w:ind w:left="1166" w:hanging="1166"/>
              <w:rPr>
                <w:sz w:val="32"/>
                <w:szCs w:val="32"/>
              </w:rPr>
            </w:pPr>
          </w:p>
        </w:tc>
        <w:tc>
          <w:tcPr>
            <w:tcW w:w="450" w:type="dxa"/>
            <w:tcBorders>
              <w:left w:val="single" w:sz="6" w:space="0" w:color="auto"/>
            </w:tcBorders>
          </w:tcPr>
          <w:p w14:paraId="122F4511" w14:textId="77777777" w:rsidR="00B72890" w:rsidRPr="008B4C71" w:rsidRDefault="00B72890" w:rsidP="008D4DC4">
            <w:pPr>
              <w:pStyle w:val="Level2"/>
              <w:spacing w:before="0" w:after="0"/>
              <w:ind w:left="1166" w:hanging="1166"/>
              <w:rPr>
                <w:sz w:val="32"/>
                <w:szCs w:val="32"/>
              </w:rPr>
            </w:pPr>
          </w:p>
        </w:tc>
        <w:tc>
          <w:tcPr>
            <w:tcW w:w="1001" w:type="dxa"/>
            <w:tcBorders>
              <w:left w:val="single" w:sz="6" w:space="0" w:color="auto"/>
            </w:tcBorders>
          </w:tcPr>
          <w:p w14:paraId="3A794B68" w14:textId="77777777" w:rsidR="00B72890" w:rsidRPr="008B4C71" w:rsidRDefault="00B72890" w:rsidP="008D4DC4">
            <w:pPr>
              <w:pStyle w:val="Level2"/>
              <w:spacing w:before="0" w:after="0"/>
              <w:ind w:left="1166" w:hanging="1166"/>
              <w:rPr>
                <w:sz w:val="32"/>
                <w:szCs w:val="32"/>
              </w:rPr>
            </w:pPr>
          </w:p>
        </w:tc>
        <w:tc>
          <w:tcPr>
            <w:tcW w:w="1001" w:type="dxa"/>
            <w:tcBorders>
              <w:left w:val="single" w:sz="6" w:space="0" w:color="auto"/>
            </w:tcBorders>
          </w:tcPr>
          <w:p w14:paraId="5A4EB164" w14:textId="77777777" w:rsidR="00B72890" w:rsidRPr="008B4C71" w:rsidRDefault="00B72890" w:rsidP="008D4DC4">
            <w:pPr>
              <w:pStyle w:val="Level2"/>
              <w:spacing w:before="0" w:after="0"/>
              <w:ind w:left="1166" w:hanging="1166"/>
              <w:rPr>
                <w:sz w:val="32"/>
                <w:szCs w:val="32"/>
              </w:rPr>
            </w:pPr>
          </w:p>
        </w:tc>
      </w:tr>
      <w:tr w:rsidR="00B72890" w:rsidRPr="00FB5173" w14:paraId="1890F4F1" w14:textId="77777777" w:rsidTr="008D4DC4">
        <w:trPr>
          <w:cantSplit/>
          <w:trHeight w:val="333"/>
        </w:trPr>
        <w:tc>
          <w:tcPr>
            <w:tcW w:w="6948" w:type="dxa"/>
          </w:tcPr>
          <w:p w14:paraId="285558AC" w14:textId="77777777" w:rsidR="00B72890" w:rsidRPr="00404F05" w:rsidRDefault="001B1506" w:rsidP="008D4DC4">
            <w:pPr>
              <w:pStyle w:val="Level2"/>
              <w:spacing w:before="0" w:after="0"/>
              <w:ind w:left="1166" w:hanging="1166"/>
            </w:pPr>
            <w:r w:rsidRPr="00404F05">
              <w:tab/>
              <w:t>.11</w:t>
            </w:r>
            <w:r w:rsidRPr="00404F05">
              <w:tab/>
              <w:t>Whether any inducements are to be given to any tenants.</w:t>
            </w:r>
          </w:p>
        </w:tc>
        <w:tc>
          <w:tcPr>
            <w:tcW w:w="450" w:type="dxa"/>
            <w:tcBorders>
              <w:left w:val="single" w:sz="6" w:space="0" w:color="auto"/>
            </w:tcBorders>
          </w:tcPr>
          <w:p w14:paraId="6D377435" w14:textId="77777777" w:rsidR="00B72890" w:rsidRPr="008B4C71" w:rsidRDefault="00B72890" w:rsidP="008D4DC4">
            <w:pPr>
              <w:pStyle w:val="Level2"/>
              <w:spacing w:before="0" w:after="0"/>
              <w:ind w:left="1166" w:hanging="1166"/>
              <w:rPr>
                <w:sz w:val="32"/>
                <w:szCs w:val="32"/>
              </w:rPr>
            </w:pPr>
          </w:p>
        </w:tc>
        <w:tc>
          <w:tcPr>
            <w:tcW w:w="450" w:type="dxa"/>
            <w:tcBorders>
              <w:left w:val="single" w:sz="6" w:space="0" w:color="auto"/>
            </w:tcBorders>
          </w:tcPr>
          <w:p w14:paraId="0371F82A" w14:textId="77777777" w:rsidR="00B72890" w:rsidRPr="008B4C71" w:rsidRDefault="00B72890" w:rsidP="008D4DC4">
            <w:pPr>
              <w:pStyle w:val="Level2"/>
              <w:spacing w:before="0" w:after="0"/>
              <w:ind w:left="1166" w:hanging="1166"/>
              <w:rPr>
                <w:sz w:val="32"/>
                <w:szCs w:val="32"/>
              </w:rPr>
            </w:pPr>
          </w:p>
        </w:tc>
        <w:tc>
          <w:tcPr>
            <w:tcW w:w="450" w:type="dxa"/>
            <w:tcBorders>
              <w:left w:val="single" w:sz="6" w:space="0" w:color="auto"/>
            </w:tcBorders>
          </w:tcPr>
          <w:p w14:paraId="464A0DBE" w14:textId="77777777" w:rsidR="00B72890" w:rsidRPr="008B4C71" w:rsidRDefault="00B72890" w:rsidP="008D4DC4">
            <w:pPr>
              <w:pStyle w:val="Level2"/>
              <w:spacing w:before="0" w:after="0"/>
              <w:ind w:left="1166" w:hanging="1166"/>
              <w:rPr>
                <w:sz w:val="32"/>
                <w:szCs w:val="32"/>
              </w:rPr>
            </w:pPr>
          </w:p>
        </w:tc>
        <w:tc>
          <w:tcPr>
            <w:tcW w:w="1001" w:type="dxa"/>
            <w:tcBorders>
              <w:left w:val="single" w:sz="6" w:space="0" w:color="auto"/>
            </w:tcBorders>
          </w:tcPr>
          <w:p w14:paraId="21FE0B7D" w14:textId="77777777" w:rsidR="00B72890" w:rsidRPr="008B4C71" w:rsidRDefault="00B72890" w:rsidP="008D4DC4">
            <w:pPr>
              <w:pStyle w:val="Level2"/>
              <w:spacing w:before="0" w:after="0"/>
              <w:ind w:left="1166" w:hanging="1166"/>
              <w:rPr>
                <w:sz w:val="32"/>
                <w:szCs w:val="32"/>
              </w:rPr>
            </w:pPr>
          </w:p>
        </w:tc>
        <w:tc>
          <w:tcPr>
            <w:tcW w:w="1001" w:type="dxa"/>
            <w:tcBorders>
              <w:left w:val="single" w:sz="6" w:space="0" w:color="auto"/>
            </w:tcBorders>
          </w:tcPr>
          <w:p w14:paraId="2A0B8F9B" w14:textId="77777777" w:rsidR="00B72890" w:rsidRPr="008B4C71" w:rsidRDefault="00B72890" w:rsidP="008D4DC4">
            <w:pPr>
              <w:pStyle w:val="Level2"/>
              <w:spacing w:before="0" w:after="0"/>
              <w:ind w:left="1166" w:hanging="1166"/>
              <w:rPr>
                <w:sz w:val="32"/>
                <w:szCs w:val="32"/>
              </w:rPr>
            </w:pPr>
          </w:p>
        </w:tc>
      </w:tr>
      <w:tr w:rsidR="00B72890" w:rsidRPr="00FB5173" w14:paraId="08295936" w14:textId="77777777">
        <w:trPr>
          <w:cantSplit/>
          <w:trHeight w:val="306"/>
        </w:trPr>
        <w:tc>
          <w:tcPr>
            <w:tcW w:w="6948" w:type="dxa"/>
          </w:tcPr>
          <w:p w14:paraId="0C118DE8" w14:textId="77777777" w:rsidR="00B72890" w:rsidRPr="00404F05" w:rsidRDefault="001B1506">
            <w:pPr>
              <w:pStyle w:val="Level2"/>
            </w:pPr>
            <w:r w:rsidRPr="00404F05">
              <w:tab/>
              <w:t>.12</w:t>
            </w:r>
            <w:r w:rsidRPr="00404F05">
              <w:tab/>
              <w:t>Any removal of leasehold improvements or alterations and restoration rights or obligations (including environmental remediation obligations), at the end of the term of the lease.</w:t>
            </w:r>
          </w:p>
        </w:tc>
        <w:tc>
          <w:tcPr>
            <w:tcW w:w="450" w:type="dxa"/>
            <w:tcBorders>
              <w:left w:val="single" w:sz="6" w:space="0" w:color="auto"/>
            </w:tcBorders>
          </w:tcPr>
          <w:p w14:paraId="187DB448" w14:textId="77777777" w:rsidR="00B72890" w:rsidRPr="008B4C71" w:rsidRDefault="00B72890">
            <w:pPr>
              <w:pStyle w:val="Level2"/>
              <w:rPr>
                <w:sz w:val="32"/>
                <w:szCs w:val="32"/>
              </w:rPr>
            </w:pPr>
          </w:p>
        </w:tc>
        <w:tc>
          <w:tcPr>
            <w:tcW w:w="450" w:type="dxa"/>
            <w:tcBorders>
              <w:left w:val="single" w:sz="6" w:space="0" w:color="auto"/>
            </w:tcBorders>
          </w:tcPr>
          <w:p w14:paraId="2979EE12" w14:textId="77777777" w:rsidR="00B72890" w:rsidRPr="008B4C71" w:rsidRDefault="00B72890">
            <w:pPr>
              <w:pStyle w:val="Level2"/>
              <w:rPr>
                <w:sz w:val="32"/>
                <w:szCs w:val="32"/>
              </w:rPr>
            </w:pPr>
          </w:p>
        </w:tc>
        <w:tc>
          <w:tcPr>
            <w:tcW w:w="450" w:type="dxa"/>
            <w:tcBorders>
              <w:left w:val="single" w:sz="6" w:space="0" w:color="auto"/>
            </w:tcBorders>
          </w:tcPr>
          <w:p w14:paraId="45AF000E" w14:textId="77777777" w:rsidR="00B72890" w:rsidRPr="008B4C71" w:rsidRDefault="00B72890">
            <w:pPr>
              <w:pStyle w:val="Level2"/>
              <w:rPr>
                <w:sz w:val="32"/>
                <w:szCs w:val="32"/>
              </w:rPr>
            </w:pPr>
          </w:p>
        </w:tc>
        <w:tc>
          <w:tcPr>
            <w:tcW w:w="1001" w:type="dxa"/>
            <w:tcBorders>
              <w:left w:val="single" w:sz="6" w:space="0" w:color="auto"/>
            </w:tcBorders>
          </w:tcPr>
          <w:p w14:paraId="65A1F8EB" w14:textId="77777777" w:rsidR="00B72890" w:rsidRPr="008B4C71" w:rsidRDefault="00B72890">
            <w:pPr>
              <w:pStyle w:val="Level2"/>
              <w:rPr>
                <w:sz w:val="32"/>
                <w:szCs w:val="32"/>
              </w:rPr>
            </w:pPr>
          </w:p>
        </w:tc>
        <w:tc>
          <w:tcPr>
            <w:tcW w:w="1001" w:type="dxa"/>
            <w:tcBorders>
              <w:left w:val="single" w:sz="6" w:space="0" w:color="auto"/>
            </w:tcBorders>
          </w:tcPr>
          <w:p w14:paraId="11D7356D" w14:textId="77777777" w:rsidR="00B72890" w:rsidRPr="008B4C71" w:rsidRDefault="00B72890">
            <w:pPr>
              <w:pStyle w:val="Level2"/>
              <w:rPr>
                <w:sz w:val="32"/>
                <w:szCs w:val="32"/>
              </w:rPr>
            </w:pPr>
          </w:p>
        </w:tc>
      </w:tr>
      <w:tr w:rsidR="00B72890" w:rsidRPr="00FB5173" w14:paraId="120D906F" w14:textId="77777777" w:rsidTr="00C460CF">
        <w:trPr>
          <w:cantSplit/>
          <w:trHeight w:val="342"/>
        </w:trPr>
        <w:tc>
          <w:tcPr>
            <w:tcW w:w="6948" w:type="dxa"/>
          </w:tcPr>
          <w:p w14:paraId="35503274" w14:textId="77777777" w:rsidR="00B72890" w:rsidRPr="00404F05" w:rsidRDefault="001B1506" w:rsidP="00C460CF">
            <w:pPr>
              <w:pStyle w:val="Level2"/>
              <w:spacing w:after="0"/>
              <w:ind w:left="1166" w:hanging="1166"/>
            </w:pPr>
            <w:r w:rsidRPr="00404F05">
              <w:tab/>
              <w:t>.13</w:t>
            </w:r>
            <w:r w:rsidRPr="00404F05">
              <w:tab/>
              <w:t xml:space="preserve">Special shopping </w:t>
            </w:r>
            <w:proofErr w:type="spellStart"/>
            <w:r w:rsidRPr="00404F05">
              <w:t>centre</w:t>
            </w:r>
            <w:proofErr w:type="spellEnd"/>
            <w:r w:rsidRPr="00404F05">
              <w:t>/retail considerations:</w:t>
            </w:r>
          </w:p>
        </w:tc>
        <w:tc>
          <w:tcPr>
            <w:tcW w:w="450" w:type="dxa"/>
            <w:tcBorders>
              <w:left w:val="single" w:sz="6" w:space="0" w:color="auto"/>
            </w:tcBorders>
          </w:tcPr>
          <w:p w14:paraId="60AC4AB4" w14:textId="77777777" w:rsidR="00B72890" w:rsidRPr="008B4C71" w:rsidRDefault="00B72890" w:rsidP="00C460CF">
            <w:pPr>
              <w:pStyle w:val="Level2"/>
              <w:spacing w:after="0"/>
              <w:ind w:left="1166" w:hanging="1166"/>
              <w:rPr>
                <w:sz w:val="32"/>
                <w:szCs w:val="32"/>
              </w:rPr>
            </w:pPr>
          </w:p>
        </w:tc>
        <w:tc>
          <w:tcPr>
            <w:tcW w:w="450" w:type="dxa"/>
            <w:tcBorders>
              <w:left w:val="single" w:sz="6" w:space="0" w:color="auto"/>
            </w:tcBorders>
          </w:tcPr>
          <w:p w14:paraId="4CBACEEE" w14:textId="77777777" w:rsidR="00B72890" w:rsidRPr="008B4C71" w:rsidRDefault="00B72890" w:rsidP="00C460CF">
            <w:pPr>
              <w:pStyle w:val="Level2"/>
              <w:spacing w:after="0"/>
              <w:ind w:left="1166" w:hanging="1166"/>
              <w:rPr>
                <w:sz w:val="32"/>
                <w:szCs w:val="32"/>
              </w:rPr>
            </w:pPr>
          </w:p>
        </w:tc>
        <w:tc>
          <w:tcPr>
            <w:tcW w:w="450" w:type="dxa"/>
            <w:tcBorders>
              <w:left w:val="single" w:sz="6" w:space="0" w:color="auto"/>
            </w:tcBorders>
          </w:tcPr>
          <w:p w14:paraId="35A15DBF" w14:textId="77777777" w:rsidR="00B72890" w:rsidRPr="008B4C71" w:rsidRDefault="00B72890" w:rsidP="00C460CF">
            <w:pPr>
              <w:pStyle w:val="Level2"/>
              <w:spacing w:after="0"/>
              <w:ind w:left="1166" w:hanging="1166"/>
              <w:rPr>
                <w:sz w:val="32"/>
                <w:szCs w:val="32"/>
              </w:rPr>
            </w:pPr>
          </w:p>
        </w:tc>
        <w:tc>
          <w:tcPr>
            <w:tcW w:w="1001" w:type="dxa"/>
            <w:tcBorders>
              <w:left w:val="single" w:sz="6" w:space="0" w:color="auto"/>
            </w:tcBorders>
          </w:tcPr>
          <w:p w14:paraId="0A9647B3" w14:textId="77777777" w:rsidR="00B72890" w:rsidRPr="008B4C71" w:rsidRDefault="00B72890" w:rsidP="00C460CF">
            <w:pPr>
              <w:pStyle w:val="Level2"/>
              <w:spacing w:after="0"/>
              <w:ind w:left="1166" w:hanging="1166"/>
              <w:rPr>
                <w:sz w:val="32"/>
                <w:szCs w:val="32"/>
              </w:rPr>
            </w:pPr>
          </w:p>
        </w:tc>
        <w:tc>
          <w:tcPr>
            <w:tcW w:w="1001" w:type="dxa"/>
            <w:tcBorders>
              <w:left w:val="single" w:sz="6" w:space="0" w:color="auto"/>
            </w:tcBorders>
          </w:tcPr>
          <w:p w14:paraId="4249534D" w14:textId="77777777" w:rsidR="00B72890" w:rsidRPr="008B4C71" w:rsidRDefault="00B72890" w:rsidP="00C460CF">
            <w:pPr>
              <w:pStyle w:val="Level2"/>
              <w:spacing w:after="0"/>
              <w:ind w:left="1166" w:hanging="1166"/>
              <w:rPr>
                <w:sz w:val="32"/>
                <w:szCs w:val="32"/>
              </w:rPr>
            </w:pPr>
          </w:p>
        </w:tc>
      </w:tr>
      <w:tr w:rsidR="00B72890" w:rsidRPr="00FB5173" w14:paraId="3BC6B9E8" w14:textId="77777777">
        <w:trPr>
          <w:cantSplit/>
          <w:trHeight w:val="693"/>
        </w:trPr>
        <w:tc>
          <w:tcPr>
            <w:tcW w:w="6948" w:type="dxa"/>
          </w:tcPr>
          <w:p w14:paraId="2D6AB589" w14:textId="77777777" w:rsidR="00B72890" w:rsidRPr="00404F05" w:rsidRDefault="001B1506">
            <w:pPr>
              <w:pStyle w:val="Level3"/>
            </w:pPr>
            <w:r w:rsidRPr="00404F05">
              <w:tab/>
              <w:t>(a)</w:t>
            </w:r>
            <w:r w:rsidRPr="00404F05">
              <w:tab/>
              <w:t>Whether the rent should allow the landlord to participate in sales by percentage rent (and if so, what the minimum rent and percentage rent should be).</w:t>
            </w:r>
          </w:p>
        </w:tc>
        <w:tc>
          <w:tcPr>
            <w:tcW w:w="450" w:type="dxa"/>
            <w:tcBorders>
              <w:left w:val="single" w:sz="6" w:space="0" w:color="auto"/>
            </w:tcBorders>
          </w:tcPr>
          <w:p w14:paraId="71C31FFC" w14:textId="77777777" w:rsidR="00B72890" w:rsidRPr="00C460CF" w:rsidRDefault="00B72890">
            <w:pPr>
              <w:pStyle w:val="Level3"/>
              <w:rPr>
                <w:sz w:val="32"/>
                <w:szCs w:val="32"/>
              </w:rPr>
            </w:pPr>
          </w:p>
        </w:tc>
        <w:tc>
          <w:tcPr>
            <w:tcW w:w="450" w:type="dxa"/>
            <w:tcBorders>
              <w:left w:val="single" w:sz="6" w:space="0" w:color="auto"/>
            </w:tcBorders>
          </w:tcPr>
          <w:p w14:paraId="65AEF0DE" w14:textId="77777777" w:rsidR="00B72890" w:rsidRPr="00C460CF" w:rsidRDefault="00B72890">
            <w:pPr>
              <w:pStyle w:val="Level3"/>
              <w:rPr>
                <w:sz w:val="32"/>
                <w:szCs w:val="32"/>
              </w:rPr>
            </w:pPr>
          </w:p>
        </w:tc>
        <w:tc>
          <w:tcPr>
            <w:tcW w:w="450" w:type="dxa"/>
            <w:tcBorders>
              <w:left w:val="single" w:sz="6" w:space="0" w:color="auto"/>
            </w:tcBorders>
          </w:tcPr>
          <w:p w14:paraId="035B6B44" w14:textId="77777777" w:rsidR="00B72890" w:rsidRPr="00C460CF" w:rsidRDefault="00B72890">
            <w:pPr>
              <w:pStyle w:val="Level3"/>
              <w:rPr>
                <w:sz w:val="32"/>
                <w:szCs w:val="32"/>
              </w:rPr>
            </w:pPr>
          </w:p>
        </w:tc>
        <w:tc>
          <w:tcPr>
            <w:tcW w:w="1001" w:type="dxa"/>
            <w:tcBorders>
              <w:left w:val="single" w:sz="6" w:space="0" w:color="auto"/>
            </w:tcBorders>
          </w:tcPr>
          <w:p w14:paraId="652EB16B" w14:textId="77777777" w:rsidR="00B72890" w:rsidRPr="00C460CF" w:rsidRDefault="00B72890">
            <w:pPr>
              <w:pStyle w:val="Level3"/>
              <w:rPr>
                <w:sz w:val="32"/>
                <w:szCs w:val="32"/>
              </w:rPr>
            </w:pPr>
          </w:p>
        </w:tc>
        <w:tc>
          <w:tcPr>
            <w:tcW w:w="1001" w:type="dxa"/>
            <w:tcBorders>
              <w:left w:val="single" w:sz="6" w:space="0" w:color="auto"/>
            </w:tcBorders>
          </w:tcPr>
          <w:p w14:paraId="4B594C08" w14:textId="77777777" w:rsidR="00B72890" w:rsidRPr="00C460CF" w:rsidRDefault="00B72890">
            <w:pPr>
              <w:pStyle w:val="Level3"/>
              <w:rPr>
                <w:sz w:val="32"/>
                <w:szCs w:val="32"/>
              </w:rPr>
            </w:pPr>
          </w:p>
        </w:tc>
      </w:tr>
      <w:tr w:rsidR="00B72890" w:rsidRPr="00FB5173" w14:paraId="2AD4A577" w14:textId="77777777">
        <w:trPr>
          <w:cantSplit/>
          <w:trHeight w:val="846"/>
        </w:trPr>
        <w:tc>
          <w:tcPr>
            <w:tcW w:w="6948" w:type="dxa"/>
          </w:tcPr>
          <w:p w14:paraId="51D6BB71" w14:textId="77777777" w:rsidR="00B72890" w:rsidRPr="00404F05" w:rsidRDefault="001B1506">
            <w:pPr>
              <w:pStyle w:val="Level3"/>
            </w:pPr>
            <w:r w:rsidRPr="00404F05">
              <w:tab/>
              <w:t>(b)</w:t>
            </w:r>
            <w:r w:rsidRPr="00404F05">
              <w:tab/>
              <w:t>The extent to which the landlord wants to control tenant use and tenant mix by restrictive covenants (where a restrictive covenant grants a tenant exclusive right to carry on a particular activity, ensure that activity is an excluded activity in all other tenants’ leases).</w:t>
            </w:r>
          </w:p>
        </w:tc>
        <w:tc>
          <w:tcPr>
            <w:tcW w:w="450" w:type="dxa"/>
            <w:tcBorders>
              <w:left w:val="single" w:sz="6" w:space="0" w:color="auto"/>
            </w:tcBorders>
          </w:tcPr>
          <w:p w14:paraId="35E1C6CD" w14:textId="77777777" w:rsidR="00B72890" w:rsidRPr="00C460CF" w:rsidRDefault="00B72890">
            <w:pPr>
              <w:pStyle w:val="Level3"/>
              <w:rPr>
                <w:sz w:val="32"/>
                <w:szCs w:val="32"/>
              </w:rPr>
            </w:pPr>
          </w:p>
        </w:tc>
        <w:tc>
          <w:tcPr>
            <w:tcW w:w="450" w:type="dxa"/>
            <w:tcBorders>
              <w:left w:val="single" w:sz="6" w:space="0" w:color="auto"/>
            </w:tcBorders>
          </w:tcPr>
          <w:p w14:paraId="31947DC4" w14:textId="77777777" w:rsidR="00B72890" w:rsidRPr="00C460CF" w:rsidRDefault="00B72890">
            <w:pPr>
              <w:pStyle w:val="Level3"/>
              <w:rPr>
                <w:sz w:val="32"/>
                <w:szCs w:val="32"/>
              </w:rPr>
            </w:pPr>
          </w:p>
        </w:tc>
        <w:tc>
          <w:tcPr>
            <w:tcW w:w="450" w:type="dxa"/>
            <w:tcBorders>
              <w:left w:val="single" w:sz="6" w:space="0" w:color="auto"/>
            </w:tcBorders>
          </w:tcPr>
          <w:p w14:paraId="28A99322" w14:textId="77777777" w:rsidR="00B72890" w:rsidRPr="00C460CF" w:rsidRDefault="00B72890">
            <w:pPr>
              <w:pStyle w:val="Level3"/>
              <w:rPr>
                <w:sz w:val="32"/>
                <w:szCs w:val="32"/>
              </w:rPr>
            </w:pPr>
          </w:p>
        </w:tc>
        <w:tc>
          <w:tcPr>
            <w:tcW w:w="1001" w:type="dxa"/>
            <w:tcBorders>
              <w:left w:val="single" w:sz="6" w:space="0" w:color="auto"/>
            </w:tcBorders>
          </w:tcPr>
          <w:p w14:paraId="0C7E4B68" w14:textId="77777777" w:rsidR="00B72890" w:rsidRPr="00C460CF" w:rsidRDefault="00B72890">
            <w:pPr>
              <w:pStyle w:val="Level3"/>
              <w:rPr>
                <w:sz w:val="32"/>
                <w:szCs w:val="32"/>
              </w:rPr>
            </w:pPr>
          </w:p>
        </w:tc>
        <w:tc>
          <w:tcPr>
            <w:tcW w:w="1001" w:type="dxa"/>
            <w:tcBorders>
              <w:left w:val="single" w:sz="6" w:space="0" w:color="auto"/>
            </w:tcBorders>
          </w:tcPr>
          <w:p w14:paraId="641F9644" w14:textId="77777777" w:rsidR="00B72890" w:rsidRPr="00C460CF" w:rsidRDefault="00B72890">
            <w:pPr>
              <w:pStyle w:val="Level3"/>
              <w:rPr>
                <w:sz w:val="32"/>
                <w:szCs w:val="32"/>
              </w:rPr>
            </w:pPr>
          </w:p>
        </w:tc>
      </w:tr>
      <w:tr w:rsidR="00B72890" w:rsidRPr="00FB5173" w14:paraId="29A50221" w14:textId="77777777">
        <w:trPr>
          <w:cantSplit/>
          <w:trHeight w:val="468"/>
        </w:trPr>
        <w:tc>
          <w:tcPr>
            <w:tcW w:w="6948" w:type="dxa"/>
          </w:tcPr>
          <w:p w14:paraId="3ADC9C40" w14:textId="77777777" w:rsidR="00B72890" w:rsidRPr="00404F05" w:rsidRDefault="001B1506">
            <w:pPr>
              <w:pStyle w:val="Level3"/>
            </w:pPr>
            <w:r w:rsidRPr="00404F05">
              <w:lastRenderedPageBreak/>
              <w:tab/>
              <w:t>(c)</w:t>
            </w:r>
            <w:r w:rsidRPr="00404F05">
              <w:tab/>
              <w:t>Covenants regarding operation for entire premises and fully stocked/employee-serviced.</w:t>
            </w:r>
          </w:p>
        </w:tc>
        <w:tc>
          <w:tcPr>
            <w:tcW w:w="450" w:type="dxa"/>
            <w:tcBorders>
              <w:left w:val="single" w:sz="6" w:space="0" w:color="auto"/>
            </w:tcBorders>
          </w:tcPr>
          <w:p w14:paraId="3C630ACF" w14:textId="77777777" w:rsidR="00B72890" w:rsidRPr="00C460CF" w:rsidRDefault="00B72890">
            <w:pPr>
              <w:pStyle w:val="Level3"/>
              <w:rPr>
                <w:sz w:val="32"/>
                <w:szCs w:val="32"/>
              </w:rPr>
            </w:pPr>
          </w:p>
        </w:tc>
        <w:tc>
          <w:tcPr>
            <w:tcW w:w="450" w:type="dxa"/>
            <w:tcBorders>
              <w:left w:val="single" w:sz="6" w:space="0" w:color="auto"/>
            </w:tcBorders>
          </w:tcPr>
          <w:p w14:paraId="3EA26C95" w14:textId="77777777" w:rsidR="00B72890" w:rsidRPr="00C460CF" w:rsidRDefault="00B72890">
            <w:pPr>
              <w:pStyle w:val="Level3"/>
              <w:rPr>
                <w:sz w:val="32"/>
                <w:szCs w:val="32"/>
              </w:rPr>
            </w:pPr>
          </w:p>
        </w:tc>
        <w:tc>
          <w:tcPr>
            <w:tcW w:w="450" w:type="dxa"/>
            <w:tcBorders>
              <w:left w:val="single" w:sz="6" w:space="0" w:color="auto"/>
            </w:tcBorders>
          </w:tcPr>
          <w:p w14:paraId="782C719C" w14:textId="77777777" w:rsidR="00B72890" w:rsidRPr="00C460CF" w:rsidRDefault="00B72890">
            <w:pPr>
              <w:pStyle w:val="Level3"/>
              <w:rPr>
                <w:sz w:val="32"/>
                <w:szCs w:val="32"/>
              </w:rPr>
            </w:pPr>
          </w:p>
        </w:tc>
        <w:tc>
          <w:tcPr>
            <w:tcW w:w="1001" w:type="dxa"/>
            <w:tcBorders>
              <w:left w:val="single" w:sz="6" w:space="0" w:color="auto"/>
            </w:tcBorders>
          </w:tcPr>
          <w:p w14:paraId="5C0F5393" w14:textId="77777777" w:rsidR="00B72890" w:rsidRPr="00C460CF" w:rsidRDefault="00B72890">
            <w:pPr>
              <w:pStyle w:val="Level3"/>
              <w:rPr>
                <w:sz w:val="32"/>
                <w:szCs w:val="32"/>
              </w:rPr>
            </w:pPr>
          </w:p>
        </w:tc>
        <w:tc>
          <w:tcPr>
            <w:tcW w:w="1001" w:type="dxa"/>
            <w:tcBorders>
              <w:left w:val="single" w:sz="6" w:space="0" w:color="auto"/>
            </w:tcBorders>
          </w:tcPr>
          <w:p w14:paraId="53060970" w14:textId="77777777" w:rsidR="00B72890" w:rsidRPr="00C460CF" w:rsidRDefault="00B72890">
            <w:pPr>
              <w:pStyle w:val="Level3"/>
              <w:rPr>
                <w:sz w:val="32"/>
                <w:szCs w:val="32"/>
              </w:rPr>
            </w:pPr>
          </w:p>
        </w:tc>
      </w:tr>
      <w:tr w:rsidR="00B72890" w:rsidRPr="00FB5173" w14:paraId="2126A02F" w14:textId="77777777">
        <w:trPr>
          <w:cantSplit/>
          <w:trHeight w:val="484"/>
        </w:trPr>
        <w:tc>
          <w:tcPr>
            <w:tcW w:w="6948" w:type="dxa"/>
          </w:tcPr>
          <w:p w14:paraId="3A4F69CE" w14:textId="77777777" w:rsidR="00B72890" w:rsidRPr="00404F05" w:rsidRDefault="001B1506">
            <w:pPr>
              <w:pStyle w:val="Level3"/>
            </w:pPr>
            <w:r w:rsidRPr="00404F05">
              <w:tab/>
              <w:t>(d)</w:t>
            </w:r>
            <w:r w:rsidRPr="00404F05">
              <w:tab/>
              <w:t xml:space="preserve">Joint landlord and tenant actions (e.g., promotion fund, official opening of </w:t>
            </w:r>
            <w:proofErr w:type="spellStart"/>
            <w:r w:rsidRPr="00404F05">
              <w:t>centre</w:t>
            </w:r>
            <w:proofErr w:type="spellEnd"/>
            <w:r w:rsidRPr="00404F05">
              <w:t>).</w:t>
            </w:r>
          </w:p>
        </w:tc>
        <w:tc>
          <w:tcPr>
            <w:tcW w:w="450" w:type="dxa"/>
            <w:tcBorders>
              <w:left w:val="single" w:sz="6" w:space="0" w:color="auto"/>
            </w:tcBorders>
          </w:tcPr>
          <w:p w14:paraId="139AD80F" w14:textId="77777777" w:rsidR="00B72890" w:rsidRPr="00C460CF" w:rsidRDefault="00B72890">
            <w:pPr>
              <w:pStyle w:val="Level3"/>
              <w:rPr>
                <w:sz w:val="32"/>
                <w:szCs w:val="32"/>
              </w:rPr>
            </w:pPr>
          </w:p>
        </w:tc>
        <w:tc>
          <w:tcPr>
            <w:tcW w:w="450" w:type="dxa"/>
            <w:tcBorders>
              <w:left w:val="single" w:sz="6" w:space="0" w:color="auto"/>
            </w:tcBorders>
          </w:tcPr>
          <w:p w14:paraId="365F7138" w14:textId="77777777" w:rsidR="00B72890" w:rsidRPr="00C460CF" w:rsidRDefault="00B72890">
            <w:pPr>
              <w:pStyle w:val="Level3"/>
              <w:rPr>
                <w:sz w:val="32"/>
                <w:szCs w:val="32"/>
              </w:rPr>
            </w:pPr>
          </w:p>
        </w:tc>
        <w:tc>
          <w:tcPr>
            <w:tcW w:w="450" w:type="dxa"/>
            <w:tcBorders>
              <w:left w:val="single" w:sz="6" w:space="0" w:color="auto"/>
            </w:tcBorders>
          </w:tcPr>
          <w:p w14:paraId="06874CE9" w14:textId="77777777" w:rsidR="00B72890" w:rsidRPr="00C460CF" w:rsidRDefault="00B72890">
            <w:pPr>
              <w:pStyle w:val="Level3"/>
              <w:rPr>
                <w:sz w:val="32"/>
                <w:szCs w:val="32"/>
              </w:rPr>
            </w:pPr>
          </w:p>
        </w:tc>
        <w:tc>
          <w:tcPr>
            <w:tcW w:w="1001" w:type="dxa"/>
            <w:tcBorders>
              <w:left w:val="single" w:sz="6" w:space="0" w:color="auto"/>
            </w:tcBorders>
          </w:tcPr>
          <w:p w14:paraId="0F9E38C6" w14:textId="77777777" w:rsidR="00B72890" w:rsidRPr="00C460CF" w:rsidRDefault="00B72890">
            <w:pPr>
              <w:pStyle w:val="Level3"/>
              <w:rPr>
                <w:sz w:val="32"/>
                <w:szCs w:val="32"/>
              </w:rPr>
            </w:pPr>
          </w:p>
        </w:tc>
        <w:tc>
          <w:tcPr>
            <w:tcW w:w="1001" w:type="dxa"/>
            <w:tcBorders>
              <w:left w:val="single" w:sz="6" w:space="0" w:color="auto"/>
            </w:tcBorders>
          </w:tcPr>
          <w:p w14:paraId="43F4CB43" w14:textId="77777777" w:rsidR="00B72890" w:rsidRPr="00C460CF" w:rsidRDefault="00B72890">
            <w:pPr>
              <w:pStyle w:val="Level3"/>
              <w:rPr>
                <w:sz w:val="32"/>
                <w:szCs w:val="32"/>
              </w:rPr>
            </w:pPr>
          </w:p>
        </w:tc>
      </w:tr>
      <w:tr w:rsidR="00B72890" w:rsidRPr="00FB5173" w14:paraId="3903CBA4" w14:textId="77777777" w:rsidTr="00C460CF">
        <w:trPr>
          <w:cantSplit/>
          <w:trHeight w:val="324"/>
        </w:trPr>
        <w:tc>
          <w:tcPr>
            <w:tcW w:w="6948" w:type="dxa"/>
          </w:tcPr>
          <w:p w14:paraId="61DBF28E" w14:textId="77777777" w:rsidR="00B72890" w:rsidRPr="00404F05" w:rsidRDefault="001B1506" w:rsidP="00C460CF">
            <w:pPr>
              <w:pStyle w:val="Level3"/>
              <w:spacing w:after="0"/>
              <w:ind w:left="1526" w:hanging="1526"/>
            </w:pPr>
            <w:r w:rsidRPr="00404F05">
              <w:tab/>
              <w:t>(e)</w:t>
            </w:r>
            <w:r w:rsidRPr="00404F05">
              <w:tab/>
              <w:t>Tenants’ use of common areas and parking.</w:t>
            </w:r>
          </w:p>
        </w:tc>
        <w:tc>
          <w:tcPr>
            <w:tcW w:w="450" w:type="dxa"/>
            <w:tcBorders>
              <w:left w:val="single" w:sz="6" w:space="0" w:color="auto"/>
            </w:tcBorders>
          </w:tcPr>
          <w:p w14:paraId="4DF5165D" w14:textId="77777777" w:rsidR="00B72890" w:rsidRPr="00C460CF" w:rsidRDefault="00B72890" w:rsidP="00C460CF">
            <w:pPr>
              <w:pStyle w:val="Level3"/>
              <w:spacing w:after="0"/>
              <w:ind w:left="1526" w:hanging="1526"/>
              <w:rPr>
                <w:sz w:val="32"/>
                <w:szCs w:val="32"/>
              </w:rPr>
            </w:pPr>
          </w:p>
        </w:tc>
        <w:tc>
          <w:tcPr>
            <w:tcW w:w="450" w:type="dxa"/>
            <w:tcBorders>
              <w:left w:val="single" w:sz="6" w:space="0" w:color="auto"/>
            </w:tcBorders>
          </w:tcPr>
          <w:p w14:paraId="4E67D363" w14:textId="77777777" w:rsidR="00B72890" w:rsidRPr="00C460CF" w:rsidRDefault="00B72890" w:rsidP="00C460CF">
            <w:pPr>
              <w:pStyle w:val="Level3"/>
              <w:spacing w:after="0"/>
              <w:ind w:left="1526" w:hanging="1526"/>
              <w:rPr>
                <w:sz w:val="32"/>
                <w:szCs w:val="32"/>
              </w:rPr>
            </w:pPr>
          </w:p>
        </w:tc>
        <w:tc>
          <w:tcPr>
            <w:tcW w:w="450" w:type="dxa"/>
            <w:tcBorders>
              <w:left w:val="single" w:sz="6" w:space="0" w:color="auto"/>
            </w:tcBorders>
          </w:tcPr>
          <w:p w14:paraId="0025627F" w14:textId="77777777" w:rsidR="00B72890" w:rsidRPr="00C460CF" w:rsidRDefault="00B72890" w:rsidP="00C460CF">
            <w:pPr>
              <w:pStyle w:val="Level3"/>
              <w:spacing w:after="0"/>
              <w:ind w:left="1526" w:hanging="1526"/>
              <w:rPr>
                <w:sz w:val="32"/>
                <w:szCs w:val="32"/>
              </w:rPr>
            </w:pPr>
          </w:p>
        </w:tc>
        <w:tc>
          <w:tcPr>
            <w:tcW w:w="1001" w:type="dxa"/>
            <w:tcBorders>
              <w:left w:val="single" w:sz="6" w:space="0" w:color="auto"/>
            </w:tcBorders>
          </w:tcPr>
          <w:p w14:paraId="35405A55" w14:textId="77777777" w:rsidR="00B72890" w:rsidRPr="00C460CF" w:rsidRDefault="00B72890" w:rsidP="00C460CF">
            <w:pPr>
              <w:pStyle w:val="Level3"/>
              <w:spacing w:after="0"/>
              <w:ind w:left="1526" w:hanging="1526"/>
              <w:rPr>
                <w:sz w:val="32"/>
                <w:szCs w:val="32"/>
              </w:rPr>
            </w:pPr>
          </w:p>
        </w:tc>
        <w:tc>
          <w:tcPr>
            <w:tcW w:w="1001" w:type="dxa"/>
            <w:tcBorders>
              <w:left w:val="single" w:sz="6" w:space="0" w:color="auto"/>
            </w:tcBorders>
          </w:tcPr>
          <w:p w14:paraId="00D65191" w14:textId="77777777" w:rsidR="00B72890" w:rsidRPr="00C460CF" w:rsidRDefault="00B72890" w:rsidP="00C460CF">
            <w:pPr>
              <w:pStyle w:val="Level3"/>
              <w:spacing w:after="0"/>
              <w:ind w:left="1526" w:hanging="1526"/>
              <w:rPr>
                <w:sz w:val="32"/>
                <w:szCs w:val="32"/>
              </w:rPr>
            </w:pPr>
          </w:p>
        </w:tc>
      </w:tr>
      <w:tr w:rsidR="00B72890" w:rsidRPr="00FB5173" w14:paraId="1DD35A36" w14:textId="77777777" w:rsidTr="00D72DC6">
        <w:trPr>
          <w:cantSplit/>
          <w:trHeight w:val="252"/>
        </w:trPr>
        <w:tc>
          <w:tcPr>
            <w:tcW w:w="6948" w:type="dxa"/>
          </w:tcPr>
          <w:p w14:paraId="61A8339C" w14:textId="77777777" w:rsidR="00B72890" w:rsidRPr="00404F05" w:rsidRDefault="001B1506" w:rsidP="00C460CF">
            <w:pPr>
              <w:pStyle w:val="Level3"/>
              <w:spacing w:after="0"/>
              <w:ind w:left="1526" w:hanging="1526"/>
            </w:pPr>
            <w:r w:rsidRPr="00404F05">
              <w:tab/>
              <w:t>(f)</w:t>
            </w:r>
            <w:r w:rsidRPr="00404F05">
              <w:tab/>
              <w:t>Whether there are any “anchor-tenant” requirements.</w:t>
            </w:r>
          </w:p>
        </w:tc>
        <w:tc>
          <w:tcPr>
            <w:tcW w:w="450" w:type="dxa"/>
            <w:tcBorders>
              <w:left w:val="single" w:sz="6" w:space="0" w:color="auto"/>
            </w:tcBorders>
          </w:tcPr>
          <w:p w14:paraId="0CD0D598" w14:textId="77777777" w:rsidR="00B72890" w:rsidRPr="00C460CF" w:rsidRDefault="00B72890" w:rsidP="00C460CF">
            <w:pPr>
              <w:pStyle w:val="Level3"/>
              <w:spacing w:after="0"/>
              <w:ind w:left="1526" w:hanging="1526"/>
              <w:rPr>
                <w:sz w:val="32"/>
                <w:szCs w:val="32"/>
              </w:rPr>
            </w:pPr>
          </w:p>
        </w:tc>
        <w:tc>
          <w:tcPr>
            <w:tcW w:w="450" w:type="dxa"/>
            <w:tcBorders>
              <w:left w:val="single" w:sz="6" w:space="0" w:color="auto"/>
            </w:tcBorders>
          </w:tcPr>
          <w:p w14:paraId="429EED9A" w14:textId="77777777" w:rsidR="00B72890" w:rsidRPr="00C460CF" w:rsidRDefault="00B72890" w:rsidP="00C460CF">
            <w:pPr>
              <w:pStyle w:val="Level3"/>
              <w:spacing w:after="0"/>
              <w:ind w:left="1526" w:hanging="1526"/>
              <w:rPr>
                <w:sz w:val="32"/>
                <w:szCs w:val="32"/>
              </w:rPr>
            </w:pPr>
          </w:p>
        </w:tc>
        <w:tc>
          <w:tcPr>
            <w:tcW w:w="450" w:type="dxa"/>
            <w:tcBorders>
              <w:left w:val="single" w:sz="6" w:space="0" w:color="auto"/>
            </w:tcBorders>
          </w:tcPr>
          <w:p w14:paraId="660E0E6D" w14:textId="77777777" w:rsidR="00B72890" w:rsidRPr="00C460CF" w:rsidRDefault="00B72890" w:rsidP="00C460CF">
            <w:pPr>
              <w:pStyle w:val="Level3"/>
              <w:spacing w:after="0"/>
              <w:ind w:left="1526" w:hanging="1526"/>
              <w:rPr>
                <w:sz w:val="32"/>
                <w:szCs w:val="32"/>
              </w:rPr>
            </w:pPr>
          </w:p>
        </w:tc>
        <w:tc>
          <w:tcPr>
            <w:tcW w:w="1001" w:type="dxa"/>
            <w:tcBorders>
              <w:left w:val="single" w:sz="6" w:space="0" w:color="auto"/>
            </w:tcBorders>
          </w:tcPr>
          <w:p w14:paraId="444C5180" w14:textId="77777777" w:rsidR="00B72890" w:rsidRPr="00C460CF" w:rsidRDefault="00B72890" w:rsidP="00C460CF">
            <w:pPr>
              <w:pStyle w:val="Level3"/>
              <w:spacing w:after="0"/>
              <w:ind w:left="1526" w:hanging="1526"/>
              <w:rPr>
                <w:sz w:val="32"/>
                <w:szCs w:val="32"/>
              </w:rPr>
            </w:pPr>
          </w:p>
        </w:tc>
        <w:tc>
          <w:tcPr>
            <w:tcW w:w="1001" w:type="dxa"/>
            <w:tcBorders>
              <w:left w:val="single" w:sz="6" w:space="0" w:color="auto"/>
            </w:tcBorders>
          </w:tcPr>
          <w:p w14:paraId="3EDF768A" w14:textId="77777777" w:rsidR="00B72890" w:rsidRPr="00C460CF" w:rsidRDefault="00B72890" w:rsidP="00C460CF">
            <w:pPr>
              <w:pStyle w:val="Level3"/>
              <w:spacing w:after="0"/>
              <w:ind w:left="1526" w:hanging="1526"/>
              <w:rPr>
                <w:sz w:val="32"/>
                <w:szCs w:val="32"/>
              </w:rPr>
            </w:pPr>
          </w:p>
        </w:tc>
      </w:tr>
      <w:tr w:rsidR="00B72890" w:rsidRPr="00FB5173" w14:paraId="5DA254E7" w14:textId="77777777">
        <w:trPr>
          <w:cantSplit/>
          <w:trHeight w:val="108"/>
        </w:trPr>
        <w:tc>
          <w:tcPr>
            <w:tcW w:w="6948" w:type="dxa"/>
          </w:tcPr>
          <w:p w14:paraId="5038876F" w14:textId="77777777" w:rsidR="00B72890" w:rsidRPr="00404F05" w:rsidRDefault="001B1506">
            <w:pPr>
              <w:pStyle w:val="NormalparagraphGN"/>
              <w:tabs>
                <w:tab w:val="left" w:pos="810"/>
              </w:tabs>
              <w:ind w:left="1170" w:hanging="1170"/>
              <w:rPr>
                <w:b/>
              </w:rPr>
            </w:pPr>
            <w:r w:rsidRPr="00404F05">
              <w:tab/>
              <w:t>.14</w:t>
            </w:r>
            <w:r w:rsidRPr="00404F05">
              <w:tab/>
              <w:t xml:space="preserve">If the premises are strata property or a building, consider the need for an easement or other rights from the strata corporation or landlord, as applicable—and appropriate modifications to the landlord’s obligations—with respect to common property, impact of bylaws, insurance to be maintained by the strata corporation or landlord, etc. See chapter 21 (Strata Clauses for Commercial Leases) in </w:t>
            </w:r>
            <w:r w:rsidRPr="00404F05">
              <w:rPr>
                <w:rStyle w:val="Italics"/>
                <w:rFonts w:ascii="Times New Roman" w:hAnsi="Times New Roman"/>
              </w:rPr>
              <w:t xml:space="preserve">Commercial Leasing: Annotated Precedents </w:t>
            </w:r>
            <w:r w:rsidRPr="00404F05">
              <w:rPr>
                <w:rStyle w:val="Italics"/>
                <w:rFonts w:ascii="Times New Roman" w:hAnsi="Times New Roman"/>
                <w:i w:val="0"/>
                <w:iCs/>
              </w:rPr>
              <w:t>(CLEBC, 1996–)</w:t>
            </w:r>
            <w:r w:rsidRPr="00404F05">
              <w:t>.</w:t>
            </w:r>
          </w:p>
        </w:tc>
        <w:tc>
          <w:tcPr>
            <w:tcW w:w="450" w:type="dxa"/>
            <w:tcBorders>
              <w:left w:val="single" w:sz="6" w:space="0" w:color="auto"/>
            </w:tcBorders>
          </w:tcPr>
          <w:p w14:paraId="23B0818C" w14:textId="77777777" w:rsidR="00B72890" w:rsidRPr="00C460CF" w:rsidRDefault="00B72890">
            <w:pPr>
              <w:pStyle w:val="Level2"/>
              <w:rPr>
                <w:sz w:val="32"/>
                <w:szCs w:val="32"/>
              </w:rPr>
            </w:pPr>
          </w:p>
        </w:tc>
        <w:tc>
          <w:tcPr>
            <w:tcW w:w="450" w:type="dxa"/>
            <w:tcBorders>
              <w:left w:val="single" w:sz="6" w:space="0" w:color="auto"/>
            </w:tcBorders>
          </w:tcPr>
          <w:p w14:paraId="456691A1" w14:textId="77777777" w:rsidR="00B72890" w:rsidRPr="00C460CF" w:rsidRDefault="00B72890">
            <w:pPr>
              <w:pStyle w:val="Level2"/>
              <w:rPr>
                <w:sz w:val="32"/>
                <w:szCs w:val="32"/>
              </w:rPr>
            </w:pPr>
          </w:p>
        </w:tc>
        <w:tc>
          <w:tcPr>
            <w:tcW w:w="450" w:type="dxa"/>
            <w:tcBorders>
              <w:left w:val="single" w:sz="6" w:space="0" w:color="auto"/>
            </w:tcBorders>
          </w:tcPr>
          <w:p w14:paraId="0AEDA90E" w14:textId="77777777" w:rsidR="00B72890" w:rsidRPr="00C460CF" w:rsidRDefault="00B72890">
            <w:pPr>
              <w:pStyle w:val="Level2"/>
              <w:rPr>
                <w:sz w:val="32"/>
                <w:szCs w:val="32"/>
              </w:rPr>
            </w:pPr>
          </w:p>
        </w:tc>
        <w:tc>
          <w:tcPr>
            <w:tcW w:w="1001" w:type="dxa"/>
            <w:tcBorders>
              <w:left w:val="single" w:sz="6" w:space="0" w:color="auto"/>
            </w:tcBorders>
          </w:tcPr>
          <w:p w14:paraId="5A7B3036" w14:textId="77777777" w:rsidR="00B72890" w:rsidRPr="00C460CF" w:rsidRDefault="00B72890">
            <w:pPr>
              <w:pStyle w:val="Level2"/>
              <w:rPr>
                <w:sz w:val="32"/>
                <w:szCs w:val="32"/>
              </w:rPr>
            </w:pPr>
          </w:p>
        </w:tc>
        <w:tc>
          <w:tcPr>
            <w:tcW w:w="1001" w:type="dxa"/>
            <w:tcBorders>
              <w:left w:val="single" w:sz="6" w:space="0" w:color="auto"/>
            </w:tcBorders>
          </w:tcPr>
          <w:p w14:paraId="42F57550" w14:textId="77777777" w:rsidR="00B72890" w:rsidRPr="00C460CF" w:rsidRDefault="00B72890">
            <w:pPr>
              <w:pStyle w:val="Level2"/>
              <w:rPr>
                <w:sz w:val="32"/>
                <w:szCs w:val="32"/>
              </w:rPr>
            </w:pPr>
          </w:p>
        </w:tc>
      </w:tr>
      <w:tr w:rsidR="00B72890" w:rsidRPr="00FB5173" w14:paraId="5974672C" w14:textId="77777777" w:rsidTr="008D4DC4">
        <w:trPr>
          <w:cantSplit/>
          <w:trHeight w:val="378"/>
        </w:trPr>
        <w:tc>
          <w:tcPr>
            <w:tcW w:w="6948" w:type="dxa"/>
          </w:tcPr>
          <w:p w14:paraId="37A00FC4" w14:textId="77777777" w:rsidR="00B72890" w:rsidRPr="00404F05" w:rsidRDefault="001B1506" w:rsidP="00C460CF">
            <w:pPr>
              <w:pStyle w:val="Level2"/>
              <w:spacing w:after="0"/>
              <w:ind w:left="1166" w:hanging="1166"/>
            </w:pPr>
            <w:r w:rsidRPr="00404F05">
              <w:tab/>
              <w:t>.15</w:t>
            </w:r>
            <w:r w:rsidRPr="00404F05">
              <w:tab/>
              <w:t>Various types of defaults and the proposed consequences.</w:t>
            </w:r>
          </w:p>
        </w:tc>
        <w:tc>
          <w:tcPr>
            <w:tcW w:w="450" w:type="dxa"/>
            <w:tcBorders>
              <w:left w:val="single" w:sz="6" w:space="0" w:color="auto"/>
            </w:tcBorders>
          </w:tcPr>
          <w:p w14:paraId="1289909F" w14:textId="77777777" w:rsidR="00B72890" w:rsidRPr="00C460CF" w:rsidRDefault="00B72890" w:rsidP="00C460CF">
            <w:pPr>
              <w:pStyle w:val="Level2"/>
              <w:spacing w:after="0"/>
              <w:ind w:left="1166" w:hanging="1166"/>
              <w:rPr>
                <w:sz w:val="32"/>
                <w:szCs w:val="32"/>
              </w:rPr>
            </w:pPr>
          </w:p>
        </w:tc>
        <w:tc>
          <w:tcPr>
            <w:tcW w:w="450" w:type="dxa"/>
            <w:tcBorders>
              <w:left w:val="single" w:sz="6" w:space="0" w:color="auto"/>
            </w:tcBorders>
          </w:tcPr>
          <w:p w14:paraId="427DE300" w14:textId="77777777" w:rsidR="00B72890" w:rsidRPr="00C460CF" w:rsidRDefault="00B72890" w:rsidP="00C460CF">
            <w:pPr>
              <w:pStyle w:val="Level2"/>
              <w:spacing w:after="0"/>
              <w:ind w:left="1166" w:hanging="1166"/>
              <w:rPr>
                <w:sz w:val="32"/>
                <w:szCs w:val="32"/>
              </w:rPr>
            </w:pPr>
          </w:p>
        </w:tc>
        <w:tc>
          <w:tcPr>
            <w:tcW w:w="450" w:type="dxa"/>
            <w:tcBorders>
              <w:left w:val="single" w:sz="6" w:space="0" w:color="auto"/>
            </w:tcBorders>
          </w:tcPr>
          <w:p w14:paraId="727A5C86" w14:textId="77777777" w:rsidR="00B72890" w:rsidRPr="00C460CF" w:rsidRDefault="00B72890" w:rsidP="00C460CF">
            <w:pPr>
              <w:pStyle w:val="Level2"/>
              <w:spacing w:after="0"/>
              <w:ind w:left="1166" w:hanging="1166"/>
              <w:rPr>
                <w:sz w:val="32"/>
                <w:szCs w:val="32"/>
              </w:rPr>
            </w:pPr>
          </w:p>
        </w:tc>
        <w:tc>
          <w:tcPr>
            <w:tcW w:w="1001" w:type="dxa"/>
            <w:tcBorders>
              <w:left w:val="single" w:sz="6" w:space="0" w:color="auto"/>
            </w:tcBorders>
          </w:tcPr>
          <w:p w14:paraId="5B3C859A" w14:textId="77777777" w:rsidR="00B72890" w:rsidRPr="00C460CF" w:rsidRDefault="00B72890" w:rsidP="00C460CF">
            <w:pPr>
              <w:pStyle w:val="Level2"/>
              <w:spacing w:after="0"/>
              <w:ind w:left="1166" w:hanging="1166"/>
              <w:rPr>
                <w:sz w:val="32"/>
                <w:szCs w:val="32"/>
              </w:rPr>
            </w:pPr>
          </w:p>
        </w:tc>
        <w:tc>
          <w:tcPr>
            <w:tcW w:w="1001" w:type="dxa"/>
            <w:tcBorders>
              <w:left w:val="single" w:sz="6" w:space="0" w:color="auto"/>
            </w:tcBorders>
          </w:tcPr>
          <w:p w14:paraId="3BDE47C7" w14:textId="77777777" w:rsidR="00B72890" w:rsidRPr="00C460CF" w:rsidRDefault="00B72890" w:rsidP="00C460CF">
            <w:pPr>
              <w:pStyle w:val="Level2"/>
              <w:spacing w:after="0"/>
              <w:ind w:left="1166" w:hanging="1166"/>
              <w:rPr>
                <w:sz w:val="32"/>
                <w:szCs w:val="32"/>
              </w:rPr>
            </w:pPr>
          </w:p>
        </w:tc>
      </w:tr>
      <w:tr w:rsidR="00B72890" w:rsidRPr="00FB5173" w14:paraId="30369093" w14:textId="77777777" w:rsidTr="008D4DC4">
        <w:trPr>
          <w:cantSplit/>
          <w:trHeight w:val="324"/>
        </w:trPr>
        <w:tc>
          <w:tcPr>
            <w:tcW w:w="6948" w:type="dxa"/>
          </w:tcPr>
          <w:p w14:paraId="61A6E091" w14:textId="77777777" w:rsidR="00B72890" w:rsidRPr="00404F05" w:rsidRDefault="001B1506" w:rsidP="00D72DC6">
            <w:pPr>
              <w:pStyle w:val="Level2"/>
              <w:spacing w:after="0"/>
              <w:ind w:left="1166" w:hanging="1166"/>
            </w:pPr>
            <w:r w:rsidRPr="00404F05">
              <w:tab/>
              <w:t>.16</w:t>
            </w:r>
            <w:r w:rsidRPr="00404F05">
              <w:tab/>
              <w:t>Circumstances in which the lease can or will be terminated.</w:t>
            </w:r>
          </w:p>
        </w:tc>
        <w:tc>
          <w:tcPr>
            <w:tcW w:w="450" w:type="dxa"/>
            <w:tcBorders>
              <w:left w:val="single" w:sz="6" w:space="0" w:color="auto"/>
            </w:tcBorders>
          </w:tcPr>
          <w:p w14:paraId="5A0215DB" w14:textId="77777777" w:rsidR="00B72890" w:rsidRPr="00C460CF" w:rsidRDefault="00B72890" w:rsidP="00D72DC6">
            <w:pPr>
              <w:pStyle w:val="Level2"/>
              <w:spacing w:after="0"/>
              <w:ind w:left="1166" w:hanging="1166"/>
              <w:rPr>
                <w:sz w:val="32"/>
                <w:szCs w:val="32"/>
              </w:rPr>
            </w:pPr>
          </w:p>
        </w:tc>
        <w:tc>
          <w:tcPr>
            <w:tcW w:w="450" w:type="dxa"/>
            <w:tcBorders>
              <w:left w:val="single" w:sz="6" w:space="0" w:color="auto"/>
            </w:tcBorders>
          </w:tcPr>
          <w:p w14:paraId="1D0D6414" w14:textId="77777777" w:rsidR="00B72890" w:rsidRPr="00C460CF" w:rsidRDefault="00B72890" w:rsidP="00D72DC6">
            <w:pPr>
              <w:pStyle w:val="Level2"/>
              <w:spacing w:after="0"/>
              <w:ind w:left="1166" w:hanging="1166"/>
              <w:rPr>
                <w:sz w:val="32"/>
                <w:szCs w:val="32"/>
              </w:rPr>
            </w:pPr>
          </w:p>
        </w:tc>
        <w:tc>
          <w:tcPr>
            <w:tcW w:w="450" w:type="dxa"/>
            <w:tcBorders>
              <w:left w:val="single" w:sz="6" w:space="0" w:color="auto"/>
            </w:tcBorders>
          </w:tcPr>
          <w:p w14:paraId="25C50DDD" w14:textId="77777777" w:rsidR="00B72890" w:rsidRPr="00C460CF" w:rsidRDefault="00B72890" w:rsidP="00D72DC6">
            <w:pPr>
              <w:pStyle w:val="Level2"/>
              <w:spacing w:after="0"/>
              <w:ind w:left="1166" w:hanging="1166"/>
              <w:rPr>
                <w:sz w:val="32"/>
                <w:szCs w:val="32"/>
              </w:rPr>
            </w:pPr>
          </w:p>
        </w:tc>
        <w:tc>
          <w:tcPr>
            <w:tcW w:w="1001" w:type="dxa"/>
            <w:tcBorders>
              <w:left w:val="single" w:sz="6" w:space="0" w:color="auto"/>
            </w:tcBorders>
          </w:tcPr>
          <w:p w14:paraId="13B18C6A" w14:textId="77777777" w:rsidR="00B72890" w:rsidRPr="00C460CF" w:rsidRDefault="00B72890" w:rsidP="00D72DC6">
            <w:pPr>
              <w:pStyle w:val="Level2"/>
              <w:spacing w:after="0"/>
              <w:ind w:left="1166" w:hanging="1166"/>
              <w:rPr>
                <w:sz w:val="32"/>
                <w:szCs w:val="32"/>
              </w:rPr>
            </w:pPr>
          </w:p>
        </w:tc>
        <w:tc>
          <w:tcPr>
            <w:tcW w:w="1001" w:type="dxa"/>
            <w:tcBorders>
              <w:left w:val="single" w:sz="6" w:space="0" w:color="auto"/>
            </w:tcBorders>
          </w:tcPr>
          <w:p w14:paraId="1D6469AB" w14:textId="77777777" w:rsidR="00B72890" w:rsidRPr="00C460CF" w:rsidRDefault="00B72890" w:rsidP="00D72DC6">
            <w:pPr>
              <w:pStyle w:val="Level2"/>
              <w:spacing w:after="0"/>
              <w:ind w:left="1166" w:hanging="1166"/>
              <w:rPr>
                <w:sz w:val="32"/>
                <w:szCs w:val="32"/>
              </w:rPr>
            </w:pPr>
          </w:p>
        </w:tc>
      </w:tr>
      <w:tr w:rsidR="00B72890" w:rsidRPr="00FB5173" w14:paraId="3EB7705A" w14:textId="77777777">
        <w:trPr>
          <w:cantSplit/>
        </w:trPr>
        <w:tc>
          <w:tcPr>
            <w:tcW w:w="6948" w:type="dxa"/>
          </w:tcPr>
          <w:p w14:paraId="38552DDF" w14:textId="77777777" w:rsidR="00B72890" w:rsidRPr="00404F05" w:rsidRDefault="001B1506">
            <w:pPr>
              <w:pStyle w:val="Level2"/>
            </w:pPr>
            <w:r w:rsidRPr="00404F05">
              <w:tab/>
              <w:t>.17</w:t>
            </w:r>
            <w:r w:rsidRPr="00404F05">
              <w:tab/>
              <w:t>Whether any security will be taken by the landlord to secure payment of rent (e.g., deposit, letter of credit, personal property security interest).</w:t>
            </w:r>
          </w:p>
        </w:tc>
        <w:tc>
          <w:tcPr>
            <w:tcW w:w="450" w:type="dxa"/>
            <w:tcBorders>
              <w:left w:val="single" w:sz="6" w:space="0" w:color="auto"/>
            </w:tcBorders>
          </w:tcPr>
          <w:p w14:paraId="36CD8F04" w14:textId="77777777" w:rsidR="00B72890" w:rsidRPr="00C460CF" w:rsidRDefault="00B72890">
            <w:pPr>
              <w:pStyle w:val="Level2"/>
              <w:rPr>
                <w:sz w:val="32"/>
                <w:szCs w:val="32"/>
              </w:rPr>
            </w:pPr>
          </w:p>
        </w:tc>
        <w:tc>
          <w:tcPr>
            <w:tcW w:w="450" w:type="dxa"/>
            <w:tcBorders>
              <w:left w:val="single" w:sz="6" w:space="0" w:color="auto"/>
            </w:tcBorders>
          </w:tcPr>
          <w:p w14:paraId="06F45F7A" w14:textId="77777777" w:rsidR="00B72890" w:rsidRPr="00C460CF" w:rsidRDefault="00B72890">
            <w:pPr>
              <w:pStyle w:val="Level2"/>
              <w:rPr>
                <w:sz w:val="32"/>
                <w:szCs w:val="32"/>
              </w:rPr>
            </w:pPr>
          </w:p>
        </w:tc>
        <w:tc>
          <w:tcPr>
            <w:tcW w:w="450" w:type="dxa"/>
            <w:tcBorders>
              <w:left w:val="single" w:sz="6" w:space="0" w:color="auto"/>
            </w:tcBorders>
          </w:tcPr>
          <w:p w14:paraId="67FF88AF" w14:textId="77777777" w:rsidR="00B72890" w:rsidRPr="00C460CF" w:rsidRDefault="00B72890">
            <w:pPr>
              <w:pStyle w:val="Level2"/>
              <w:rPr>
                <w:sz w:val="32"/>
                <w:szCs w:val="32"/>
              </w:rPr>
            </w:pPr>
          </w:p>
        </w:tc>
        <w:tc>
          <w:tcPr>
            <w:tcW w:w="1001" w:type="dxa"/>
            <w:tcBorders>
              <w:left w:val="single" w:sz="6" w:space="0" w:color="auto"/>
            </w:tcBorders>
          </w:tcPr>
          <w:p w14:paraId="512B98B6" w14:textId="77777777" w:rsidR="00B72890" w:rsidRPr="00C460CF" w:rsidRDefault="00B72890">
            <w:pPr>
              <w:pStyle w:val="Level2"/>
              <w:rPr>
                <w:sz w:val="32"/>
                <w:szCs w:val="32"/>
              </w:rPr>
            </w:pPr>
          </w:p>
        </w:tc>
        <w:tc>
          <w:tcPr>
            <w:tcW w:w="1001" w:type="dxa"/>
            <w:tcBorders>
              <w:left w:val="single" w:sz="6" w:space="0" w:color="auto"/>
            </w:tcBorders>
          </w:tcPr>
          <w:p w14:paraId="108E509E" w14:textId="77777777" w:rsidR="00B72890" w:rsidRPr="00C460CF" w:rsidRDefault="00B72890">
            <w:pPr>
              <w:pStyle w:val="Level2"/>
              <w:rPr>
                <w:sz w:val="32"/>
                <w:szCs w:val="32"/>
              </w:rPr>
            </w:pPr>
          </w:p>
        </w:tc>
      </w:tr>
      <w:tr w:rsidR="00B72890" w:rsidRPr="00FB5173" w14:paraId="5D63E3B4" w14:textId="77777777" w:rsidTr="00C460CF">
        <w:trPr>
          <w:cantSplit/>
          <w:trHeight w:val="405"/>
        </w:trPr>
        <w:tc>
          <w:tcPr>
            <w:tcW w:w="6948" w:type="dxa"/>
          </w:tcPr>
          <w:p w14:paraId="1E5DF3F4" w14:textId="77777777" w:rsidR="00B72890" w:rsidRPr="00404F05" w:rsidRDefault="001B1506" w:rsidP="00C460CF">
            <w:pPr>
              <w:pStyle w:val="Level2"/>
              <w:spacing w:after="0"/>
              <w:ind w:left="1166" w:hanging="1166"/>
            </w:pPr>
            <w:r w:rsidRPr="00404F05">
              <w:tab/>
              <w:t>.18</w:t>
            </w:r>
            <w:r w:rsidRPr="00404F05">
              <w:tab/>
              <w:t>Whether any particular services are available and who is to pay for them.</w:t>
            </w:r>
          </w:p>
        </w:tc>
        <w:tc>
          <w:tcPr>
            <w:tcW w:w="450" w:type="dxa"/>
            <w:tcBorders>
              <w:left w:val="single" w:sz="6" w:space="0" w:color="auto"/>
            </w:tcBorders>
          </w:tcPr>
          <w:p w14:paraId="1564A784" w14:textId="77777777" w:rsidR="00B72890" w:rsidRPr="00C460CF" w:rsidRDefault="00B72890" w:rsidP="00C460CF">
            <w:pPr>
              <w:pStyle w:val="Level2"/>
              <w:spacing w:after="0"/>
              <w:ind w:left="1166" w:hanging="1166"/>
              <w:rPr>
                <w:sz w:val="32"/>
                <w:szCs w:val="32"/>
              </w:rPr>
            </w:pPr>
          </w:p>
        </w:tc>
        <w:tc>
          <w:tcPr>
            <w:tcW w:w="450" w:type="dxa"/>
            <w:tcBorders>
              <w:left w:val="single" w:sz="6" w:space="0" w:color="auto"/>
            </w:tcBorders>
          </w:tcPr>
          <w:p w14:paraId="517B3E8E" w14:textId="77777777" w:rsidR="00B72890" w:rsidRPr="00C460CF" w:rsidRDefault="00B72890" w:rsidP="00C460CF">
            <w:pPr>
              <w:pStyle w:val="Level2"/>
              <w:spacing w:after="0"/>
              <w:ind w:left="1166" w:hanging="1166"/>
              <w:rPr>
                <w:sz w:val="32"/>
                <w:szCs w:val="32"/>
              </w:rPr>
            </w:pPr>
          </w:p>
        </w:tc>
        <w:tc>
          <w:tcPr>
            <w:tcW w:w="450" w:type="dxa"/>
            <w:tcBorders>
              <w:left w:val="single" w:sz="6" w:space="0" w:color="auto"/>
            </w:tcBorders>
          </w:tcPr>
          <w:p w14:paraId="001BB1FE" w14:textId="77777777" w:rsidR="00B72890" w:rsidRPr="00C460CF" w:rsidRDefault="00B72890" w:rsidP="00C460CF">
            <w:pPr>
              <w:pStyle w:val="Level2"/>
              <w:spacing w:after="0"/>
              <w:ind w:left="1166" w:hanging="1166"/>
              <w:rPr>
                <w:sz w:val="32"/>
                <w:szCs w:val="32"/>
              </w:rPr>
            </w:pPr>
          </w:p>
        </w:tc>
        <w:tc>
          <w:tcPr>
            <w:tcW w:w="1001" w:type="dxa"/>
            <w:tcBorders>
              <w:left w:val="single" w:sz="6" w:space="0" w:color="auto"/>
            </w:tcBorders>
          </w:tcPr>
          <w:p w14:paraId="41882009" w14:textId="77777777" w:rsidR="00B72890" w:rsidRPr="00C460CF" w:rsidRDefault="00B72890" w:rsidP="00C460CF">
            <w:pPr>
              <w:pStyle w:val="Level2"/>
              <w:spacing w:after="0"/>
              <w:ind w:left="1166" w:hanging="1166"/>
              <w:rPr>
                <w:sz w:val="32"/>
                <w:szCs w:val="32"/>
              </w:rPr>
            </w:pPr>
          </w:p>
        </w:tc>
        <w:tc>
          <w:tcPr>
            <w:tcW w:w="1001" w:type="dxa"/>
            <w:tcBorders>
              <w:left w:val="single" w:sz="6" w:space="0" w:color="auto"/>
            </w:tcBorders>
          </w:tcPr>
          <w:p w14:paraId="1E41CD0B" w14:textId="77777777" w:rsidR="00B72890" w:rsidRPr="00C460CF" w:rsidRDefault="00B72890" w:rsidP="00C460CF">
            <w:pPr>
              <w:pStyle w:val="Level2"/>
              <w:spacing w:after="0"/>
              <w:ind w:left="1166" w:hanging="1166"/>
              <w:rPr>
                <w:sz w:val="32"/>
                <w:szCs w:val="32"/>
              </w:rPr>
            </w:pPr>
          </w:p>
        </w:tc>
      </w:tr>
      <w:tr w:rsidR="00B72890" w:rsidRPr="00FB5173" w14:paraId="5EA924B8" w14:textId="77777777" w:rsidTr="008D4DC4">
        <w:trPr>
          <w:cantSplit/>
          <w:trHeight w:val="378"/>
        </w:trPr>
        <w:tc>
          <w:tcPr>
            <w:tcW w:w="6948" w:type="dxa"/>
          </w:tcPr>
          <w:p w14:paraId="5C235FE2" w14:textId="77777777" w:rsidR="00B72890" w:rsidRPr="00404F05" w:rsidRDefault="001B1506" w:rsidP="00C460CF">
            <w:pPr>
              <w:pStyle w:val="Level2"/>
              <w:spacing w:after="0"/>
              <w:ind w:left="1166" w:hanging="1166"/>
            </w:pPr>
            <w:r w:rsidRPr="00404F05">
              <w:tab/>
              <w:t>.19</w:t>
            </w:r>
            <w:r w:rsidRPr="00404F05">
              <w:tab/>
              <w:t>What rules and regulations the landlord wants attached to the lease.</w:t>
            </w:r>
          </w:p>
        </w:tc>
        <w:tc>
          <w:tcPr>
            <w:tcW w:w="450" w:type="dxa"/>
            <w:tcBorders>
              <w:left w:val="single" w:sz="6" w:space="0" w:color="auto"/>
            </w:tcBorders>
          </w:tcPr>
          <w:p w14:paraId="542245BB" w14:textId="77777777" w:rsidR="00B72890" w:rsidRPr="00C460CF" w:rsidRDefault="00B72890" w:rsidP="00C460CF">
            <w:pPr>
              <w:pStyle w:val="Level2"/>
              <w:spacing w:after="0"/>
              <w:ind w:left="1166" w:hanging="1166"/>
              <w:rPr>
                <w:sz w:val="32"/>
                <w:szCs w:val="32"/>
              </w:rPr>
            </w:pPr>
          </w:p>
        </w:tc>
        <w:tc>
          <w:tcPr>
            <w:tcW w:w="450" w:type="dxa"/>
            <w:tcBorders>
              <w:left w:val="single" w:sz="6" w:space="0" w:color="auto"/>
            </w:tcBorders>
          </w:tcPr>
          <w:p w14:paraId="41D9EE9A" w14:textId="77777777" w:rsidR="00B72890" w:rsidRPr="00C460CF" w:rsidRDefault="00B72890" w:rsidP="00C460CF">
            <w:pPr>
              <w:pStyle w:val="Level2"/>
              <w:spacing w:after="0"/>
              <w:ind w:left="1166" w:hanging="1166"/>
              <w:rPr>
                <w:sz w:val="32"/>
                <w:szCs w:val="32"/>
              </w:rPr>
            </w:pPr>
          </w:p>
        </w:tc>
        <w:tc>
          <w:tcPr>
            <w:tcW w:w="450" w:type="dxa"/>
            <w:tcBorders>
              <w:left w:val="single" w:sz="6" w:space="0" w:color="auto"/>
            </w:tcBorders>
          </w:tcPr>
          <w:p w14:paraId="60A3515A" w14:textId="77777777" w:rsidR="00B72890" w:rsidRPr="00C460CF" w:rsidRDefault="00B72890" w:rsidP="00C460CF">
            <w:pPr>
              <w:pStyle w:val="Level2"/>
              <w:spacing w:after="0"/>
              <w:ind w:left="1166" w:hanging="1166"/>
              <w:rPr>
                <w:sz w:val="32"/>
                <w:szCs w:val="32"/>
              </w:rPr>
            </w:pPr>
          </w:p>
        </w:tc>
        <w:tc>
          <w:tcPr>
            <w:tcW w:w="1001" w:type="dxa"/>
            <w:tcBorders>
              <w:left w:val="single" w:sz="6" w:space="0" w:color="auto"/>
            </w:tcBorders>
          </w:tcPr>
          <w:p w14:paraId="7474C781" w14:textId="77777777" w:rsidR="00B72890" w:rsidRPr="00C460CF" w:rsidRDefault="00B72890" w:rsidP="00C460CF">
            <w:pPr>
              <w:pStyle w:val="Level2"/>
              <w:spacing w:after="0"/>
              <w:ind w:left="1166" w:hanging="1166"/>
              <w:rPr>
                <w:sz w:val="32"/>
                <w:szCs w:val="32"/>
              </w:rPr>
            </w:pPr>
          </w:p>
        </w:tc>
        <w:tc>
          <w:tcPr>
            <w:tcW w:w="1001" w:type="dxa"/>
            <w:tcBorders>
              <w:left w:val="single" w:sz="6" w:space="0" w:color="auto"/>
            </w:tcBorders>
          </w:tcPr>
          <w:p w14:paraId="3F168996" w14:textId="77777777" w:rsidR="00B72890" w:rsidRPr="00C460CF" w:rsidRDefault="00B72890" w:rsidP="00C460CF">
            <w:pPr>
              <w:pStyle w:val="Level2"/>
              <w:spacing w:after="0"/>
              <w:ind w:left="1166" w:hanging="1166"/>
              <w:rPr>
                <w:sz w:val="32"/>
                <w:szCs w:val="32"/>
              </w:rPr>
            </w:pPr>
          </w:p>
        </w:tc>
      </w:tr>
      <w:tr w:rsidR="00B72890" w:rsidRPr="00FB5173" w14:paraId="256F28C4" w14:textId="77777777">
        <w:trPr>
          <w:cantSplit/>
          <w:trHeight w:val="1215"/>
        </w:trPr>
        <w:tc>
          <w:tcPr>
            <w:tcW w:w="6948" w:type="dxa"/>
          </w:tcPr>
          <w:p w14:paraId="19F28FE5" w14:textId="77777777" w:rsidR="00B72890" w:rsidRPr="00404F05" w:rsidRDefault="001B1506">
            <w:pPr>
              <w:pStyle w:val="Level2"/>
            </w:pPr>
            <w:r w:rsidRPr="00404F05">
              <w:tab/>
              <w:t>.20</w:t>
            </w:r>
            <w:r w:rsidRPr="00404F05">
              <w:tab/>
              <w:t xml:space="preserve">Whether the lease is to be registered with the LTSA in the Land Title Office (the “LTO”), and if so at whose expense. Consider whether a short form of lease should be registered so that financial aspects of the transaction are not disclosed to the </w:t>
            </w:r>
            <w:r w:rsidRPr="00404F05">
              <w:rPr>
                <w:spacing w:val="-4"/>
              </w:rPr>
              <w:t xml:space="preserve">public (e.g., tenant inducements, rent). Also consider whether easements, </w:t>
            </w:r>
            <w:proofErr w:type="spellStart"/>
            <w:r w:rsidRPr="00404F05">
              <w:rPr>
                <w:spacing w:val="-4"/>
              </w:rPr>
              <w:t>licences</w:t>
            </w:r>
            <w:proofErr w:type="spellEnd"/>
            <w:r w:rsidRPr="00404F05">
              <w:rPr>
                <w:spacing w:val="-4"/>
              </w:rPr>
              <w:t>,</w:t>
            </w:r>
            <w:r w:rsidRPr="00404F05">
              <w:t xml:space="preserve"> etc. are required over land. If the lease is not to be registered in the LTO, make that explicit in the lease, to avoid the effect of </w:t>
            </w:r>
            <w:r w:rsidRPr="00404F05">
              <w:rPr>
                <w:rStyle w:val="ItalicsI1"/>
              </w:rPr>
              <w:t>Property Law Act</w:t>
            </w:r>
            <w:r w:rsidRPr="00404F05">
              <w:t xml:space="preserve">, R.S.B.C. 1996, c. 377, s. 5(2). Consider whether property transfer tax is payable upon registration, which might influence whether the lease is registered. Consider whether a reference plan is required for a lease of part of a building, if the lease is to be registered. Consider also the application of the </w:t>
            </w:r>
            <w:r w:rsidRPr="00404F05">
              <w:rPr>
                <w:i/>
              </w:rPr>
              <w:t>LOTA</w:t>
            </w:r>
            <w:r w:rsidRPr="00404F05">
              <w:t xml:space="preserve"> and whether a transparency declaration or transparency report is required to be filed.</w:t>
            </w:r>
          </w:p>
        </w:tc>
        <w:tc>
          <w:tcPr>
            <w:tcW w:w="450" w:type="dxa"/>
            <w:tcBorders>
              <w:left w:val="single" w:sz="6" w:space="0" w:color="auto"/>
            </w:tcBorders>
          </w:tcPr>
          <w:p w14:paraId="098710FF" w14:textId="77777777" w:rsidR="00B72890" w:rsidRPr="00C460CF" w:rsidRDefault="00B72890">
            <w:pPr>
              <w:pStyle w:val="Level2"/>
              <w:rPr>
                <w:sz w:val="32"/>
                <w:szCs w:val="32"/>
              </w:rPr>
            </w:pPr>
          </w:p>
        </w:tc>
        <w:tc>
          <w:tcPr>
            <w:tcW w:w="450" w:type="dxa"/>
            <w:tcBorders>
              <w:left w:val="single" w:sz="6" w:space="0" w:color="auto"/>
            </w:tcBorders>
          </w:tcPr>
          <w:p w14:paraId="1DA3C115" w14:textId="77777777" w:rsidR="00B72890" w:rsidRPr="00C460CF" w:rsidRDefault="00B72890">
            <w:pPr>
              <w:pStyle w:val="Level2"/>
              <w:rPr>
                <w:sz w:val="32"/>
                <w:szCs w:val="32"/>
              </w:rPr>
            </w:pPr>
          </w:p>
        </w:tc>
        <w:tc>
          <w:tcPr>
            <w:tcW w:w="450" w:type="dxa"/>
            <w:tcBorders>
              <w:left w:val="single" w:sz="6" w:space="0" w:color="auto"/>
            </w:tcBorders>
          </w:tcPr>
          <w:p w14:paraId="2E33102E" w14:textId="77777777" w:rsidR="00B72890" w:rsidRPr="00C460CF" w:rsidRDefault="00B72890">
            <w:pPr>
              <w:pStyle w:val="Level2"/>
              <w:rPr>
                <w:sz w:val="32"/>
                <w:szCs w:val="32"/>
              </w:rPr>
            </w:pPr>
          </w:p>
        </w:tc>
        <w:tc>
          <w:tcPr>
            <w:tcW w:w="1001" w:type="dxa"/>
            <w:tcBorders>
              <w:left w:val="single" w:sz="6" w:space="0" w:color="auto"/>
            </w:tcBorders>
          </w:tcPr>
          <w:p w14:paraId="78008E79" w14:textId="77777777" w:rsidR="00B72890" w:rsidRPr="00C460CF" w:rsidRDefault="00B72890">
            <w:pPr>
              <w:pStyle w:val="Level2"/>
              <w:rPr>
                <w:sz w:val="32"/>
                <w:szCs w:val="32"/>
              </w:rPr>
            </w:pPr>
          </w:p>
        </w:tc>
        <w:tc>
          <w:tcPr>
            <w:tcW w:w="1001" w:type="dxa"/>
            <w:tcBorders>
              <w:left w:val="single" w:sz="6" w:space="0" w:color="auto"/>
            </w:tcBorders>
          </w:tcPr>
          <w:p w14:paraId="4866A906" w14:textId="77777777" w:rsidR="00B72890" w:rsidRPr="00C460CF" w:rsidRDefault="00B72890">
            <w:pPr>
              <w:pStyle w:val="Level2"/>
              <w:rPr>
                <w:sz w:val="32"/>
                <w:szCs w:val="32"/>
              </w:rPr>
            </w:pPr>
          </w:p>
        </w:tc>
      </w:tr>
      <w:tr w:rsidR="00B72890" w:rsidRPr="00FB5173" w14:paraId="310A87F9" w14:textId="77777777">
        <w:trPr>
          <w:cantSplit/>
          <w:trHeight w:val="216"/>
        </w:trPr>
        <w:tc>
          <w:tcPr>
            <w:tcW w:w="6948" w:type="dxa"/>
          </w:tcPr>
          <w:p w14:paraId="347BBC06" w14:textId="77777777" w:rsidR="00B72890" w:rsidRPr="00404F05" w:rsidRDefault="001B1506">
            <w:pPr>
              <w:pStyle w:val="Level111G1"/>
            </w:pPr>
            <w:r w:rsidRPr="00404F05">
              <w:tab/>
              <w:t>2.7</w:t>
            </w:r>
            <w:r w:rsidRPr="00404F05">
              <w:tab/>
              <w:t>If the land is part of a reserve or treaty lands, note that there are special considerations (see “Of note” in this checklist).</w:t>
            </w:r>
          </w:p>
        </w:tc>
        <w:tc>
          <w:tcPr>
            <w:tcW w:w="450" w:type="dxa"/>
            <w:tcBorders>
              <w:left w:val="single" w:sz="6" w:space="0" w:color="auto"/>
            </w:tcBorders>
          </w:tcPr>
          <w:p w14:paraId="09E8FD56" w14:textId="77777777" w:rsidR="00B72890" w:rsidRPr="00C460CF" w:rsidRDefault="00B72890">
            <w:pPr>
              <w:pStyle w:val="Level111G1"/>
              <w:rPr>
                <w:sz w:val="32"/>
                <w:szCs w:val="32"/>
              </w:rPr>
            </w:pPr>
          </w:p>
        </w:tc>
        <w:tc>
          <w:tcPr>
            <w:tcW w:w="450" w:type="dxa"/>
            <w:tcBorders>
              <w:left w:val="single" w:sz="6" w:space="0" w:color="auto"/>
            </w:tcBorders>
          </w:tcPr>
          <w:p w14:paraId="4A4B86D6" w14:textId="77777777" w:rsidR="00B72890" w:rsidRPr="00C460CF" w:rsidRDefault="00B72890">
            <w:pPr>
              <w:pStyle w:val="Level111G1"/>
              <w:rPr>
                <w:sz w:val="32"/>
                <w:szCs w:val="32"/>
              </w:rPr>
            </w:pPr>
          </w:p>
        </w:tc>
        <w:tc>
          <w:tcPr>
            <w:tcW w:w="450" w:type="dxa"/>
            <w:tcBorders>
              <w:left w:val="single" w:sz="6" w:space="0" w:color="auto"/>
            </w:tcBorders>
          </w:tcPr>
          <w:p w14:paraId="4E809B3B" w14:textId="77777777" w:rsidR="00B72890" w:rsidRPr="00C460CF" w:rsidRDefault="00B72890">
            <w:pPr>
              <w:pStyle w:val="Level111G1"/>
              <w:rPr>
                <w:sz w:val="32"/>
                <w:szCs w:val="32"/>
              </w:rPr>
            </w:pPr>
          </w:p>
        </w:tc>
        <w:tc>
          <w:tcPr>
            <w:tcW w:w="1001" w:type="dxa"/>
            <w:tcBorders>
              <w:left w:val="single" w:sz="6" w:space="0" w:color="auto"/>
            </w:tcBorders>
          </w:tcPr>
          <w:p w14:paraId="36CFF7F5" w14:textId="77777777" w:rsidR="00B72890" w:rsidRPr="00C460CF" w:rsidRDefault="00B72890">
            <w:pPr>
              <w:pStyle w:val="Level111G1"/>
              <w:rPr>
                <w:sz w:val="32"/>
                <w:szCs w:val="32"/>
              </w:rPr>
            </w:pPr>
          </w:p>
        </w:tc>
        <w:tc>
          <w:tcPr>
            <w:tcW w:w="1001" w:type="dxa"/>
            <w:tcBorders>
              <w:left w:val="single" w:sz="6" w:space="0" w:color="auto"/>
            </w:tcBorders>
          </w:tcPr>
          <w:p w14:paraId="63683D74" w14:textId="77777777" w:rsidR="00B72890" w:rsidRPr="00C460CF" w:rsidRDefault="00B72890">
            <w:pPr>
              <w:pStyle w:val="Level111G1"/>
              <w:rPr>
                <w:sz w:val="32"/>
                <w:szCs w:val="32"/>
              </w:rPr>
            </w:pPr>
          </w:p>
        </w:tc>
      </w:tr>
      <w:tr w:rsidR="00B72890" w:rsidRPr="00FB5173" w14:paraId="249F182E" w14:textId="77777777">
        <w:trPr>
          <w:cantSplit/>
          <w:trHeight w:val="558"/>
        </w:trPr>
        <w:tc>
          <w:tcPr>
            <w:tcW w:w="6948" w:type="dxa"/>
          </w:tcPr>
          <w:p w14:paraId="7C0F2675" w14:textId="77777777" w:rsidR="00B72890" w:rsidRPr="00404F05" w:rsidRDefault="001B1506">
            <w:pPr>
              <w:pStyle w:val="Level111G1"/>
            </w:pPr>
            <w:r w:rsidRPr="00404F05">
              <w:tab/>
              <w:t>2.8</w:t>
            </w:r>
            <w:r w:rsidRPr="00404F05">
              <w:tab/>
              <w:t>Discuss the nature of an offer or agreement to lease, and determine whether it is desirable to use one.</w:t>
            </w:r>
          </w:p>
        </w:tc>
        <w:tc>
          <w:tcPr>
            <w:tcW w:w="450" w:type="dxa"/>
            <w:tcBorders>
              <w:left w:val="single" w:sz="6" w:space="0" w:color="auto"/>
            </w:tcBorders>
          </w:tcPr>
          <w:p w14:paraId="6C434FE3" w14:textId="77777777" w:rsidR="00B72890" w:rsidRPr="00C460CF" w:rsidRDefault="00B72890">
            <w:pPr>
              <w:pStyle w:val="Level111G1"/>
              <w:rPr>
                <w:sz w:val="32"/>
                <w:szCs w:val="32"/>
              </w:rPr>
            </w:pPr>
          </w:p>
        </w:tc>
        <w:tc>
          <w:tcPr>
            <w:tcW w:w="450" w:type="dxa"/>
            <w:tcBorders>
              <w:left w:val="single" w:sz="6" w:space="0" w:color="auto"/>
            </w:tcBorders>
          </w:tcPr>
          <w:p w14:paraId="6D5C9B31" w14:textId="77777777" w:rsidR="00B72890" w:rsidRPr="00C460CF" w:rsidRDefault="00B72890">
            <w:pPr>
              <w:pStyle w:val="Level111G1"/>
              <w:rPr>
                <w:sz w:val="32"/>
                <w:szCs w:val="32"/>
              </w:rPr>
            </w:pPr>
          </w:p>
        </w:tc>
        <w:tc>
          <w:tcPr>
            <w:tcW w:w="450" w:type="dxa"/>
            <w:tcBorders>
              <w:left w:val="single" w:sz="6" w:space="0" w:color="auto"/>
            </w:tcBorders>
          </w:tcPr>
          <w:p w14:paraId="14BA9E04" w14:textId="77777777" w:rsidR="00B72890" w:rsidRPr="00C460CF" w:rsidRDefault="00B72890">
            <w:pPr>
              <w:pStyle w:val="Level111G1"/>
              <w:rPr>
                <w:sz w:val="32"/>
                <w:szCs w:val="32"/>
              </w:rPr>
            </w:pPr>
          </w:p>
        </w:tc>
        <w:tc>
          <w:tcPr>
            <w:tcW w:w="1001" w:type="dxa"/>
            <w:tcBorders>
              <w:left w:val="single" w:sz="6" w:space="0" w:color="auto"/>
            </w:tcBorders>
          </w:tcPr>
          <w:p w14:paraId="564CB2A1" w14:textId="77777777" w:rsidR="00B72890" w:rsidRPr="00C460CF" w:rsidRDefault="00B72890">
            <w:pPr>
              <w:pStyle w:val="Level111G1"/>
              <w:rPr>
                <w:sz w:val="32"/>
                <w:szCs w:val="32"/>
              </w:rPr>
            </w:pPr>
          </w:p>
        </w:tc>
        <w:tc>
          <w:tcPr>
            <w:tcW w:w="1001" w:type="dxa"/>
            <w:tcBorders>
              <w:left w:val="single" w:sz="6" w:space="0" w:color="auto"/>
            </w:tcBorders>
          </w:tcPr>
          <w:p w14:paraId="576DA6A6" w14:textId="77777777" w:rsidR="00B72890" w:rsidRPr="00C460CF" w:rsidRDefault="00B72890">
            <w:pPr>
              <w:pStyle w:val="Level111G1"/>
              <w:rPr>
                <w:sz w:val="32"/>
                <w:szCs w:val="32"/>
              </w:rPr>
            </w:pPr>
          </w:p>
        </w:tc>
      </w:tr>
      <w:tr w:rsidR="00B72890" w:rsidRPr="00FB5173" w14:paraId="21F8DB49" w14:textId="77777777">
        <w:trPr>
          <w:cantSplit/>
          <w:trHeight w:val="819"/>
        </w:trPr>
        <w:tc>
          <w:tcPr>
            <w:tcW w:w="6948" w:type="dxa"/>
          </w:tcPr>
          <w:p w14:paraId="066F6971" w14:textId="77777777" w:rsidR="00B72890" w:rsidRPr="00404F05" w:rsidRDefault="001B1506">
            <w:pPr>
              <w:pStyle w:val="Level111G1"/>
            </w:pPr>
            <w:r w:rsidRPr="00404F05">
              <w:tab/>
              <w:t>2.9</w:t>
            </w:r>
            <w:r w:rsidRPr="00404F05">
              <w:tab/>
              <w:t>Get instructions to draft the lease or offer to lease and any supplementary documents required (e.g., guarantee or indemnity, environmental indemnity, or a tenant fixturing loan agreement—see item 3.9 in this checklist).</w:t>
            </w:r>
          </w:p>
        </w:tc>
        <w:tc>
          <w:tcPr>
            <w:tcW w:w="450" w:type="dxa"/>
            <w:tcBorders>
              <w:left w:val="single" w:sz="6" w:space="0" w:color="auto"/>
            </w:tcBorders>
          </w:tcPr>
          <w:p w14:paraId="7B2CC786" w14:textId="77777777" w:rsidR="00B72890" w:rsidRPr="00C460CF" w:rsidRDefault="00B72890">
            <w:pPr>
              <w:pStyle w:val="Level111G1"/>
              <w:rPr>
                <w:sz w:val="32"/>
                <w:szCs w:val="32"/>
              </w:rPr>
            </w:pPr>
          </w:p>
        </w:tc>
        <w:tc>
          <w:tcPr>
            <w:tcW w:w="450" w:type="dxa"/>
            <w:tcBorders>
              <w:left w:val="single" w:sz="6" w:space="0" w:color="auto"/>
            </w:tcBorders>
          </w:tcPr>
          <w:p w14:paraId="7FEF57B6" w14:textId="77777777" w:rsidR="00B72890" w:rsidRPr="00C460CF" w:rsidRDefault="00B72890">
            <w:pPr>
              <w:pStyle w:val="Level111G1"/>
              <w:rPr>
                <w:sz w:val="32"/>
                <w:szCs w:val="32"/>
              </w:rPr>
            </w:pPr>
          </w:p>
        </w:tc>
        <w:tc>
          <w:tcPr>
            <w:tcW w:w="450" w:type="dxa"/>
            <w:tcBorders>
              <w:left w:val="single" w:sz="6" w:space="0" w:color="auto"/>
            </w:tcBorders>
          </w:tcPr>
          <w:p w14:paraId="1C04E106" w14:textId="77777777" w:rsidR="00B72890" w:rsidRPr="00C460CF" w:rsidRDefault="00B72890">
            <w:pPr>
              <w:pStyle w:val="Level111G1"/>
              <w:rPr>
                <w:sz w:val="32"/>
                <w:szCs w:val="32"/>
              </w:rPr>
            </w:pPr>
          </w:p>
        </w:tc>
        <w:tc>
          <w:tcPr>
            <w:tcW w:w="1001" w:type="dxa"/>
            <w:tcBorders>
              <w:left w:val="single" w:sz="6" w:space="0" w:color="auto"/>
            </w:tcBorders>
          </w:tcPr>
          <w:p w14:paraId="0239590F" w14:textId="77777777" w:rsidR="00B72890" w:rsidRPr="00C460CF" w:rsidRDefault="00B72890">
            <w:pPr>
              <w:pStyle w:val="Level111G1"/>
              <w:rPr>
                <w:sz w:val="32"/>
                <w:szCs w:val="32"/>
              </w:rPr>
            </w:pPr>
          </w:p>
        </w:tc>
        <w:tc>
          <w:tcPr>
            <w:tcW w:w="1001" w:type="dxa"/>
            <w:tcBorders>
              <w:left w:val="single" w:sz="6" w:space="0" w:color="auto"/>
            </w:tcBorders>
          </w:tcPr>
          <w:p w14:paraId="6D1A3890" w14:textId="77777777" w:rsidR="00B72890" w:rsidRPr="00C460CF" w:rsidRDefault="00B72890">
            <w:pPr>
              <w:pStyle w:val="Level111G1"/>
              <w:rPr>
                <w:sz w:val="32"/>
                <w:szCs w:val="32"/>
              </w:rPr>
            </w:pPr>
          </w:p>
        </w:tc>
      </w:tr>
      <w:tr w:rsidR="00B72890" w:rsidRPr="00FB5173" w14:paraId="04256358" w14:textId="77777777">
        <w:trPr>
          <w:cantSplit/>
          <w:trHeight w:val="1062"/>
        </w:trPr>
        <w:tc>
          <w:tcPr>
            <w:tcW w:w="6948" w:type="dxa"/>
          </w:tcPr>
          <w:p w14:paraId="63014A5F" w14:textId="77777777" w:rsidR="00B72890" w:rsidRPr="00404F05" w:rsidRDefault="001B1506">
            <w:pPr>
              <w:pStyle w:val="Level111G1"/>
            </w:pPr>
            <w:r w:rsidRPr="00404F05">
              <w:tab/>
              <w:t>2.10</w:t>
            </w:r>
            <w:r w:rsidRPr="00404F05">
              <w:tab/>
              <w:t xml:space="preserve">If you are not in a position to act, advise the client. Make a record of the advice given, and file your notes. Send a non-engagement letter (for samples, see the Law Society resource available at </w:t>
            </w:r>
            <w:hyperlink r:id="rId15" w:history="1">
              <w:r w:rsidRPr="00404F05">
                <w:rPr>
                  <w:rStyle w:val="Hyperlink"/>
                </w:rPr>
                <w:t>www.lawsociety.bc.ca/Website/</w:t>
              </w:r>
              <w:r w:rsidRPr="00404F05">
                <w:rPr>
                  <w:rStyle w:val="Hyperlink"/>
                </w:rPr>
                <w:br/>
                <w:t>media/Shared/docs/ practice/resources/Ltrs-NonEngagement.pdf</w:t>
              </w:r>
            </w:hyperlink>
            <w:r w:rsidRPr="00404F05">
              <w:t>).</w:t>
            </w:r>
          </w:p>
        </w:tc>
        <w:tc>
          <w:tcPr>
            <w:tcW w:w="450" w:type="dxa"/>
            <w:tcBorders>
              <w:left w:val="single" w:sz="6" w:space="0" w:color="auto"/>
            </w:tcBorders>
          </w:tcPr>
          <w:p w14:paraId="438F09F6" w14:textId="77777777" w:rsidR="00B72890" w:rsidRPr="00C460CF" w:rsidRDefault="00B72890">
            <w:pPr>
              <w:pStyle w:val="Level111G1"/>
              <w:rPr>
                <w:sz w:val="32"/>
                <w:szCs w:val="32"/>
              </w:rPr>
            </w:pPr>
          </w:p>
        </w:tc>
        <w:tc>
          <w:tcPr>
            <w:tcW w:w="450" w:type="dxa"/>
            <w:tcBorders>
              <w:left w:val="single" w:sz="6" w:space="0" w:color="auto"/>
            </w:tcBorders>
          </w:tcPr>
          <w:p w14:paraId="617DE7F9" w14:textId="77777777" w:rsidR="00B72890" w:rsidRPr="00C460CF" w:rsidRDefault="00B72890">
            <w:pPr>
              <w:pStyle w:val="Level111G1"/>
              <w:rPr>
                <w:sz w:val="32"/>
                <w:szCs w:val="32"/>
              </w:rPr>
            </w:pPr>
          </w:p>
        </w:tc>
        <w:tc>
          <w:tcPr>
            <w:tcW w:w="450" w:type="dxa"/>
            <w:tcBorders>
              <w:left w:val="single" w:sz="6" w:space="0" w:color="auto"/>
            </w:tcBorders>
          </w:tcPr>
          <w:p w14:paraId="363931D8" w14:textId="77777777" w:rsidR="00B72890" w:rsidRPr="00C460CF" w:rsidRDefault="00B72890">
            <w:pPr>
              <w:pStyle w:val="Level111G1"/>
              <w:rPr>
                <w:sz w:val="32"/>
                <w:szCs w:val="32"/>
              </w:rPr>
            </w:pPr>
          </w:p>
        </w:tc>
        <w:tc>
          <w:tcPr>
            <w:tcW w:w="1001" w:type="dxa"/>
            <w:tcBorders>
              <w:left w:val="single" w:sz="6" w:space="0" w:color="auto"/>
            </w:tcBorders>
          </w:tcPr>
          <w:p w14:paraId="4B3A0502" w14:textId="77777777" w:rsidR="00B72890" w:rsidRPr="00C460CF" w:rsidRDefault="00B72890">
            <w:pPr>
              <w:pStyle w:val="Level111G1"/>
              <w:rPr>
                <w:sz w:val="32"/>
                <w:szCs w:val="32"/>
              </w:rPr>
            </w:pPr>
          </w:p>
        </w:tc>
        <w:tc>
          <w:tcPr>
            <w:tcW w:w="1001" w:type="dxa"/>
            <w:tcBorders>
              <w:left w:val="single" w:sz="6" w:space="0" w:color="auto"/>
            </w:tcBorders>
          </w:tcPr>
          <w:p w14:paraId="0BDEF9E4" w14:textId="77777777" w:rsidR="00B72890" w:rsidRPr="00C460CF" w:rsidRDefault="00B72890">
            <w:pPr>
              <w:pStyle w:val="Level111G1"/>
              <w:rPr>
                <w:sz w:val="32"/>
                <w:szCs w:val="32"/>
              </w:rPr>
            </w:pPr>
          </w:p>
        </w:tc>
      </w:tr>
      <w:tr w:rsidR="00B72890" w:rsidRPr="00FB5173" w14:paraId="58437EA7" w14:textId="77777777">
        <w:trPr>
          <w:cantSplit/>
        </w:trPr>
        <w:tc>
          <w:tcPr>
            <w:tcW w:w="6948" w:type="dxa"/>
          </w:tcPr>
          <w:p w14:paraId="2960CD55" w14:textId="77777777" w:rsidR="00B72890" w:rsidRPr="00404F05" w:rsidRDefault="001B1506">
            <w:pPr>
              <w:pStyle w:val="NumberedheadingGH"/>
              <w:jc w:val="both"/>
            </w:pPr>
            <w:r w:rsidRPr="00404F05">
              <w:t>3.</w:t>
            </w:r>
            <w:r w:rsidRPr="00404F05">
              <w:tab/>
              <w:t>AFTER THE INITIAL INTERVIEW</w:t>
            </w:r>
          </w:p>
        </w:tc>
        <w:tc>
          <w:tcPr>
            <w:tcW w:w="450" w:type="dxa"/>
            <w:tcBorders>
              <w:left w:val="single" w:sz="6" w:space="0" w:color="auto"/>
            </w:tcBorders>
          </w:tcPr>
          <w:p w14:paraId="01B20FB9" w14:textId="77777777" w:rsidR="00B72890" w:rsidRPr="00C460CF" w:rsidRDefault="00B72890">
            <w:pPr>
              <w:pStyle w:val="unformattedtext"/>
              <w:spacing w:before="60"/>
              <w:rPr>
                <w:sz w:val="32"/>
                <w:szCs w:val="32"/>
              </w:rPr>
            </w:pPr>
          </w:p>
        </w:tc>
        <w:tc>
          <w:tcPr>
            <w:tcW w:w="450" w:type="dxa"/>
            <w:tcBorders>
              <w:left w:val="single" w:sz="6" w:space="0" w:color="auto"/>
            </w:tcBorders>
          </w:tcPr>
          <w:p w14:paraId="2711D784" w14:textId="77777777" w:rsidR="00B72890" w:rsidRPr="00C460CF" w:rsidRDefault="00B72890">
            <w:pPr>
              <w:pStyle w:val="unformattedtext"/>
              <w:spacing w:before="60"/>
              <w:rPr>
                <w:sz w:val="32"/>
                <w:szCs w:val="32"/>
              </w:rPr>
            </w:pPr>
          </w:p>
        </w:tc>
        <w:tc>
          <w:tcPr>
            <w:tcW w:w="450" w:type="dxa"/>
            <w:tcBorders>
              <w:left w:val="single" w:sz="6" w:space="0" w:color="auto"/>
            </w:tcBorders>
          </w:tcPr>
          <w:p w14:paraId="7285BC58" w14:textId="77777777" w:rsidR="00B72890" w:rsidRPr="00C460CF" w:rsidRDefault="00B72890">
            <w:pPr>
              <w:pStyle w:val="unformattedtext"/>
              <w:spacing w:before="60"/>
              <w:rPr>
                <w:sz w:val="32"/>
                <w:szCs w:val="32"/>
              </w:rPr>
            </w:pPr>
          </w:p>
        </w:tc>
        <w:tc>
          <w:tcPr>
            <w:tcW w:w="1001" w:type="dxa"/>
            <w:tcBorders>
              <w:left w:val="single" w:sz="6" w:space="0" w:color="auto"/>
            </w:tcBorders>
          </w:tcPr>
          <w:p w14:paraId="0F976133" w14:textId="77777777" w:rsidR="00B72890" w:rsidRPr="00C460CF" w:rsidRDefault="00B72890">
            <w:pPr>
              <w:pStyle w:val="unformattedtext"/>
              <w:spacing w:before="60"/>
              <w:rPr>
                <w:sz w:val="32"/>
                <w:szCs w:val="32"/>
              </w:rPr>
            </w:pPr>
          </w:p>
        </w:tc>
        <w:tc>
          <w:tcPr>
            <w:tcW w:w="1001" w:type="dxa"/>
            <w:tcBorders>
              <w:left w:val="single" w:sz="6" w:space="0" w:color="auto"/>
            </w:tcBorders>
          </w:tcPr>
          <w:p w14:paraId="3D78A44A" w14:textId="77777777" w:rsidR="00B72890" w:rsidRPr="00C460CF" w:rsidRDefault="00B72890">
            <w:pPr>
              <w:pStyle w:val="unformattedtext"/>
              <w:spacing w:before="60"/>
              <w:rPr>
                <w:sz w:val="32"/>
                <w:szCs w:val="32"/>
              </w:rPr>
            </w:pPr>
          </w:p>
        </w:tc>
      </w:tr>
      <w:tr w:rsidR="00B72890" w:rsidRPr="00FB5173" w14:paraId="2AF970D0" w14:textId="77777777" w:rsidTr="008D4DC4">
        <w:trPr>
          <w:cantSplit/>
          <w:trHeight w:val="954"/>
        </w:trPr>
        <w:tc>
          <w:tcPr>
            <w:tcW w:w="6948" w:type="dxa"/>
          </w:tcPr>
          <w:p w14:paraId="305EA95B" w14:textId="77777777" w:rsidR="00B72890" w:rsidRPr="00404F05" w:rsidRDefault="001B1506">
            <w:pPr>
              <w:pStyle w:val="Level111G1"/>
            </w:pPr>
            <w:r w:rsidRPr="00404F05">
              <w:tab/>
              <w:t>3.1</w:t>
            </w:r>
            <w:r w:rsidRPr="00404F05">
              <w:tab/>
              <w:t xml:space="preserve">Confirm your retainer. Refer to the </w:t>
            </w:r>
            <w:r w:rsidRPr="00404F05">
              <w:rPr>
                <w:bCs/>
                <w:smallCaps/>
              </w:rPr>
              <w:t xml:space="preserve">client </w:t>
            </w:r>
            <w:r w:rsidRPr="00404F05">
              <w:rPr>
                <w:smallCaps/>
              </w:rPr>
              <w:t>file opening and closing</w:t>
            </w:r>
            <w:r w:rsidRPr="00404F05">
              <w:t xml:space="preserve"> </w:t>
            </w:r>
            <w:r w:rsidRPr="00404F05">
              <w:br/>
              <w:t>(A-2) checklist.</w:t>
            </w:r>
          </w:p>
        </w:tc>
        <w:tc>
          <w:tcPr>
            <w:tcW w:w="450" w:type="dxa"/>
            <w:tcBorders>
              <w:left w:val="single" w:sz="6" w:space="0" w:color="auto"/>
            </w:tcBorders>
          </w:tcPr>
          <w:p w14:paraId="3A93D5FC" w14:textId="77777777" w:rsidR="00B72890" w:rsidRPr="00C460CF" w:rsidRDefault="00B72890">
            <w:pPr>
              <w:pStyle w:val="Level111G1"/>
              <w:rPr>
                <w:sz w:val="32"/>
                <w:szCs w:val="32"/>
              </w:rPr>
            </w:pPr>
          </w:p>
        </w:tc>
        <w:tc>
          <w:tcPr>
            <w:tcW w:w="450" w:type="dxa"/>
            <w:tcBorders>
              <w:left w:val="single" w:sz="6" w:space="0" w:color="auto"/>
            </w:tcBorders>
          </w:tcPr>
          <w:p w14:paraId="5484FACA" w14:textId="77777777" w:rsidR="00B72890" w:rsidRPr="00C460CF" w:rsidRDefault="00B72890">
            <w:pPr>
              <w:pStyle w:val="Level111G1"/>
              <w:rPr>
                <w:sz w:val="32"/>
                <w:szCs w:val="32"/>
              </w:rPr>
            </w:pPr>
          </w:p>
        </w:tc>
        <w:tc>
          <w:tcPr>
            <w:tcW w:w="450" w:type="dxa"/>
            <w:tcBorders>
              <w:left w:val="single" w:sz="6" w:space="0" w:color="auto"/>
            </w:tcBorders>
          </w:tcPr>
          <w:p w14:paraId="0C95F3D9" w14:textId="77777777" w:rsidR="00B72890" w:rsidRPr="00C460CF" w:rsidRDefault="00B72890">
            <w:pPr>
              <w:pStyle w:val="Level111G1"/>
              <w:rPr>
                <w:sz w:val="32"/>
                <w:szCs w:val="32"/>
              </w:rPr>
            </w:pPr>
          </w:p>
        </w:tc>
        <w:tc>
          <w:tcPr>
            <w:tcW w:w="1001" w:type="dxa"/>
            <w:tcBorders>
              <w:left w:val="single" w:sz="6" w:space="0" w:color="auto"/>
            </w:tcBorders>
          </w:tcPr>
          <w:p w14:paraId="6FB884DA" w14:textId="77777777" w:rsidR="00B72890" w:rsidRPr="00C460CF" w:rsidRDefault="00B72890">
            <w:pPr>
              <w:pStyle w:val="Level111G1"/>
              <w:rPr>
                <w:sz w:val="32"/>
                <w:szCs w:val="32"/>
              </w:rPr>
            </w:pPr>
          </w:p>
        </w:tc>
        <w:tc>
          <w:tcPr>
            <w:tcW w:w="1001" w:type="dxa"/>
            <w:tcBorders>
              <w:left w:val="single" w:sz="6" w:space="0" w:color="auto"/>
            </w:tcBorders>
          </w:tcPr>
          <w:p w14:paraId="14CD81CE" w14:textId="77777777" w:rsidR="00B72890" w:rsidRPr="00C460CF" w:rsidRDefault="00B72890">
            <w:pPr>
              <w:pStyle w:val="Level111G1"/>
              <w:rPr>
                <w:sz w:val="32"/>
                <w:szCs w:val="32"/>
              </w:rPr>
            </w:pPr>
          </w:p>
        </w:tc>
      </w:tr>
      <w:tr w:rsidR="00B72890" w:rsidRPr="00FB5173" w14:paraId="2EF98182" w14:textId="77777777">
        <w:trPr>
          <w:cantSplit/>
          <w:trHeight w:val="837"/>
        </w:trPr>
        <w:tc>
          <w:tcPr>
            <w:tcW w:w="6948" w:type="dxa"/>
          </w:tcPr>
          <w:p w14:paraId="3E699F26" w14:textId="77777777" w:rsidR="00B72890" w:rsidRPr="00404F05" w:rsidRDefault="001B1506">
            <w:pPr>
              <w:pStyle w:val="Level111G1"/>
            </w:pPr>
            <w:r w:rsidRPr="00404F05">
              <w:lastRenderedPageBreak/>
              <w:tab/>
              <w:t>3.2</w:t>
            </w:r>
            <w:r w:rsidRPr="00404F05">
              <w:tab/>
              <w:t>Confirm compliance with Law Society Rules 3-98 to 3-110 for client identification and verification and the source of money for financial transactions (see item 1.4 in this checklist).</w:t>
            </w:r>
          </w:p>
        </w:tc>
        <w:tc>
          <w:tcPr>
            <w:tcW w:w="450" w:type="dxa"/>
            <w:tcBorders>
              <w:left w:val="single" w:sz="6" w:space="0" w:color="auto"/>
            </w:tcBorders>
          </w:tcPr>
          <w:p w14:paraId="750B487F" w14:textId="77777777" w:rsidR="00B72890" w:rsidRPr="00C460CF" w:rsidRDefault="00B72890">
            <w:pPr>
              <w:pStyle w:val="Level111G1"/>
              <w:rPr>
                <w:sz w:val="32"/>
                <w:szCs w:val="32"/>
              </w:rPr>
            </w:pPr>
          </w:p>
        </w:tc>
        <w:tc>
          <w:tcPr>
            <w:tcW w:w="450" w:type="dxa"/>
            <w:tcBorders>
              <w:left w:val="single" w:sz="6" w:space="0" w:color="auto"/>
            </w:tcBorders>
          </w:tcPr>
          <w:p w14:paraId="4CE92C38" w14:textId="77777777" w:rsidR="00B72890" w:rsidRPr="00C460CF" w:rsidRDefault="00B72890">
            <w:pPr>
              <w:pStyle w:val="Level111G1"/>
              <w:rPr>
                <w:sz w:val="32"/>
                <w:szCs w:val="32"/>
              </w:rPr>
            </w:pPr>
          </w:p>
        </w:tc>
        <w:tc>
          <w:tcPr>
            <w:tcW w:w="450" w:type="dxa"/>
            <w:tcBorders>
              <w:left w:val="single" w:sz="6" w:space="0" w:color="auto"/>
            </w:tcBorders>
          </w:tcPr>
          <w:p w14:paraId="28523264" w14:textId="77777777" w:rsidR="00B72890" w:rsidRPr="00C460CF" w:rsidRDefault="00B72890">
            <w:pPr>
              <w:pStyle w:val="Level111G1"/>
              <w:rPr>
                <w:sz w:val="32"/>
                <w:szCs w:val="32"/>
              </w:rPr>
            </w:pPr>
          </w:p>
        </w:tc>
        <w:tc>
          <w:tcPr>
            <w:tcW w:w="1001" w:type="dxa"/>
            <w:tcBorders>
              <w:left w:val="single" w:sz="6" w:space="0" w:color="auto"/>
            </w:tcBorders>
          </w:tcPr>
          <w:p w14:paraId="7463FC31" w14:textId="77777777" w:rsidR="00B72890" w:rsidRPr="00C460CF" w:rsidRDefault="00B72890">
            <w:pPr>
              <w:pStyle w:val="Level111G1"/>
              <w:rPr>
                <w:sz w:val="32"/>
                <w:szCs w:val="32"/>
              </w:rPr>
            </w:pPr>
          </w:p>
        </w:tc>
        <w:tc>
          <w:tcPr>
            <w:tcW w:w="1001" w:type="dxa"/>
            <w:tcBorders>
              <w:left w:val="single" w:sz="6" w:space="0" w:color="auto"/>
            </w:tcBorders>
          </w:tcPr>
          <w:p w14:paraId="3ACEEA26" w14:textId="77777777" w:rsidR="00B72890" w:rsidRPr="00C460CF" w:rsidRDefault="00B72890">
            <w:pPr>
              <w:pStyle w:val="Level111G1"/>
              <w:rPr>
                <w:sz w:val="32"/>
                <w:szCs w:val="32"/>
              </w:rPr>
            </w:pPr>
          </w:p>
        </w:tc>
      </w:tr>
      <w:tr w:rsidR="00B72890" w:rsidRPr="00FB5173" w14:paraId="76B34978" w14:textId="77777777">
        <w:trPr>
          <w:cantSplit/>
          <w:trHeight w:val="324"/>
        </w:trPr>
        <w:tc>
          <w:tcPr>
            <w:tcW w:w="6948" w:type="dxa"/>
          </w:tcPr>
          <w:p w14:paraId="34EA1991" w14:textId="77777777" w:rsidR="00B72890" w:rsidRPr="00404F05" w:rsidRDefault="001B1506">
            <w:pPr>
              <w:pStyle w:val="Level111G1"/>
            </w:pPr>
            <w:r w:rsidRPr="00404F05">
              <w:tab/>
              <w:t>3.3</w:t>
            </w:r>
            <w:r w:rsidRPr="00404F05">
              <w:tab/>
              <w:t xml:space="preserve">If the client is a company, verify who has the authority to give instructions. Consider having a directors’ resolution confirm your retainer and giving one officer or director the authority to instruct you. Communicate with counsel representing the other parties that you are acting for your client. If other parties are unrepresented, urge them in writing to get independent legal representation. Make it clear to the other parties that you are not protecting their interests and that you are acting exclusively in the interests of your client; see </w:t>
            </w:r>
            <w:r w:rsidRPr="00404F05">
              <w:rPr>
                <w:i/>
              </w:rPr>
              <w:t>Code of Professional Conduct for British Columbia</w:t>
            </w:r>
            <w:r w:rsidRPr="00404F05">
              <w:t xml:space="preserve"> (the “</w:t>
            </w:r>
            <w:r w:rsidRPr="00404F05">
              <w:rPr>
                <w:i/>
              </w:rPr>
              <w:t>BC Code</w:t>
            </w:r>
            <w:r w:rsidRPr="00404F05">
              <w:t xml:space="preserve">”), rule 7.2-9. </w:t>
            </w:r>
          </w:p>
        </w:tc>
        <w:tc>
          <w:tcPr>
            <w:tcW w:w="450" w:type="dxa"/>
            <w:tcBorders>
              <w:left w:val="single" w:sz="6" w:space="0" w:color="auto"/>
            </w:tcBorders>
          </w:tcPr>
          <w:p w14:paraId="13E39224" w14:textId="77777777" w:rsidR="00B72890" w:rsidRPr="00193E31" w:rsidRDefault="00B72890">
            <w:pPr>
              <w:pStyle w:val="Level111G1"/>
              <w:rPr>
                <w:sz w:val="32"/>
                <w:szCs w:val="32"/>
              </w:rPr>
            </w:pPr>
          </w:p>
        </w:tc>
        <w:tc>
          <w:tcPr>
            <w:tcW w:w="450" w:type="dxa"/>
            <w:tcBorders>
              <w:left w:val="single" w:sz="6" w:space="0" w:color="auto"/>
            </w:tcBorders>
          </w:tcPr>
          <w:p w14:paraId="1C6A26FA" w14:textId="77777777" w:rsidR="00B72890" w:rsidRPr="00193E31" w:rsidRDefault="00B72890">
            <w:pPr>
              <w:pStyle w:val="Level111G1"/>
              <w:rPr>
                <w:sz w:val="32"/>
                <w:szCs w:val="32"/>
              </w:rPr>
            </w:pPr>
          </w:p>
        </w:tc>
        <w:tc>
          <w:tcPr>
            <w:tcW w:w="450" w:type="dxa"/>
            <w:tcBorders>
              <w:left w:val="single" w:sz="6" w:space="0" w:color="auto"/>
            </w:tcBorders>
          </w:tcPr>
          <w:p w14:paraId="2F660BA1" w14:textId="77777777" w:rsidR="00B72890" w:rsidRPr="00193E31" w:rsidRDefault="00B72890">
            <w:pPr>
              <w:pStyle w:val="Level111G1"/>
              <w:rPr>
                <w:sz w:val="32"/>
                <w:szCs w:val="32"/>
              </w:rPr>
            </w:pPr>
          </w:p>
        </w:tc>
        <w:tc>
          <w:tcPr>
            <w:tcW w:w="1001" w:type="dxa"/>
            <w:tcBorders>
              <w:left w:val="single" w:sz="6" w:space="0" w:color="auto"/>
            </w:tcBorders>
          </w:tcPr>
          <w:p w14:paraId="78D8EBE9" w14:textId="77777777" w:rsidR="00B72890" w:rsidRPr="00193E31" w:rsidRDefault="00B72890">
            <w:pPr>
              <w:pStyle w:val="Level111G1"/>
              <w:rPr>
                <w:sz w:val="32"/>
                <w:szCs w:val="32"/>
              </w:rPr>
            </w:pPr>
          </w:p>
        </w:tc>
        <w:tc>
          <w:tcPr>
            <w:tcW w:w="1001" w:type="dxa"/>
            <w:tcBorders>
              <w:left w:val="single" w:sz="6" w:space="0" w:color="auto"/>
            </w:tcBorders>
          </w:tcPr>
          <w:p w14:paraId="34DF5456" w14:textId="77777777" w:rsidR="00B72890" w:rsidRPr="00193E31" w:rsidRDefault="00B72890">
            <w:pPr>
              <w:pStyle w:val="Level111G1"/>
              <w:rPr>
                <w:sz w:val="32"/>
                <w:szCs w:val="32"/>
              </w:rPr>
            </w:pPr>
          </w:p>
        </w:tc>
      </w:tr>
      <w:tr w:rsidR="00B72890" w:rsidRPr="00FB5173" w14:paraId="36E22C54" w14:textId="77777777">
        <w:trPr>
          <w:cantSplit/>
        </w:trPr>
        <w:tc>
          <w:tcPr>
            <w:tcW w:w="6948" w:type="dxa"/>
          </w:tcPr>
          <w:p w14:paraId="571685D1" w14:textId="77777777" w:rsidR="00B72890" w:rsidRPr="00404F05" w:rsidRDefault="001B1506">
            <w:pPr>
              <w:pStyle w:val="Level111G1"/>
            </w:pPr>
            <w:r w:rsidRPr="00404F05">
              <w:tab/>
              <w:t>3.4</w:t>
            </w:r>
            <w:r w:rsidRPr="00404F05">
              <w:tab/>
              <w:t>Conduct relevant searches (or confirm in writing if other advisors such as leasing agents are conducting such searches), such as:</w:t>
            </w:r>
          </w:p>
        </w:tc>
        <w:tc>
          <w:tcPr>
            <w:tcW w:w="450" w:type="dxa"/>
            <w:tcBorders>
              <w:left w:val="single" w:sz="6" w:space="0" w:color="auto"/>
            </w:tcBorders>
          </w:tcPr>
          <w:p w14:paraId="16187B45" w14:textId="77777777" w:rsidR="00B72890" w:rsidRPr="00193E31" w:rsidRDefault="00B72890">
            <w:pPr>
              <w:pStyle w:val="Level111G1"/>
              <w:rPr>
                <w:sz w:val="32"/>
                <w:szCs w:val="32"/>
              </w:rPr>
            </w:pPr>
          </w:p>
        </w:tc>
        <w:tc>
          <w:tcPr>
            <w:tcW w:w="450" w:type="dxa"/>
            <w:tcBorders>
              <w:left w:val="single" w:sz="6" w:space="0" w:color="auto"/>
            </w:tcBorders>
          </w:tcPr>
          <w:p w14:paraId="443DBF76" w14:textId="77777777" w:rsidR="00B72890" w:rsidRPr="00193E31" w:rsidRDefault="00B72890">
            <w:pPr>
              <w:pStyle w:val="Level111G1"/>
              <w:rPr>
                <w:sz w:val="32"/>
                <w:szCs w:val="32"/>
              </w:rPr>
            </w:pPr>
          </w:p>
        </w:tc>
        <w:tc>
          <w:tcPr>
            <w:tcW w:w="450" w:type="dxa"/>
            <w:tcBorders>
              <w:left w:val="single" w:sz="6" w:space="0" w:color="auto"/>
            </w:tcBorders>
          </w:tcPr>
          <w:p w14:paraId="0FE6F0F4" w14:textId="77777777" w:rsidR="00B72890" w:rsidRPr="00193E31" w:rsidRDefault="00B72890">
            <w:pPr>
              <w:pStyle w:val="Level111G1"/>
              <w:rPr>
                <w:sz w:val="32"/>
                <w:szCs w:val="32"/>
              </w:rPr>
            </w:pPr>
          </w:p>
        </w:tc>
        <w:tc>
          <w:tcPr>
            <w:tcW w:w="1001" w:type="dxa"/>
            <w:tcBorders>
              <w:left w:val="single" w:sz="6" w:space="0" w:color="auto"/>
            </w:tcBorders>
          </w:tcPr>
          <w:p w14:paraId="29B68760" w14:textId="77777777" w:rsidR="00B72890" w:rsidRPr="00193E31" w:rsidRDefault="00B72890">
            <w:pPr>
              <w:pStyle w:val="Level111G1"/>
              <w:rPr>
                <w:sz w:val="32"/>
                <w:szCs w:val="32"/>
              </w:rPr>
            </w:pPr>
          </w:p>
        </w:tc>
        <w:tc>
          <w:tcPr>
            <w:tcW w:w="1001" w:type="dxa"/>
            <w:tcBorders>
              <w:left w:val="single" w:sz="6" w:space="0" w:color="auto"/>
            </w:tcBorders>
          </w:tcPr>
          <w:p w14:paraId="5A743355" w14:textId="77777777" w:rsidR="00B72890" w:rsidRPr="00193E31" w:rsidRDefault="00B72890">
            <w:pPr>
              <w:pStyle w:val="Level111G1"/>
              <w:rPr>
                <w:sz w:val="32"/>
                <w:szCs w:val="32"/>
              </w:rPr>
            </w:pPr>
          </w:p>
        </w:tc>
      </w:tr>
      <w:tr w:rsidR="00B72890" w:rsidRPr="00FB5173" w14:paraId="22991D82" w14:textId="77777777" w:rsidTr="00193E31">
        <w:trPr>
          <w:cantSplit/>
          <w:trHeight w:val="270"/>
        </w:trPr>
        <w:tc>
          <w:tcPr>
            <w:tcW w:w="6948" w:type="dxa"/>
          </w:tcPr>
          <w:p w14:paraId="1DCB744D" w14:textId="77777777" w:rsidR="00B72890" w:rsidRPr="00404F05" w:rsidRDefault="001B1506" w:rsidP="00193E31">
            <w:pPr>
              <w:pStyle w:val="Level2"/>
              <w:spacing w:after="0"/>
              <w:ind w:left="1166" w:hanging="1166"/>
            </w:pPr>
            <w:r w:rsidRPr="00404F05">
              <w:tab/>
              <w:t>.1</w:t>
            </w:r>
            <w:r w:rsidRPr="00404F05">
              <w:tab/>
              <w:t>LTO.</w:t>
            </w:r>
          </w:p>
        </w:tc>
        <w:tc>
          <w:tcPr>
            <w:tcW w:w="450" w:type="dxa"/>
            <w:tcBorders>
              <w:left w:val="single" w:sz="6" w:space="0" w:color="auto"/>
            </w:tcBorders>
          </w:tcPr>
          <w:p w14:paraId="21396306"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3198A7BC"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4867A6DF"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4B798F1B"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1173CD56" w14:textId="77777777" w:rsidR="00B72890" w:rsidRPr="00193E31" w:rsidRDefault="00B72890" w:rsidP="00193E31">
            <w:pPr>
              <w:pStyle w:val="Level2"/>
              <w:spacing w:after="0"/>
              <w:ind w:left="1166" w:hanging="1166"/>
              <w:rPr>
                <w:sz w:val="32"/>
                <w:szCs w:val="32"/>
              </w:rPr>
            </w:pPr>
          </w:p>
        </w:tc>
      </w:tr>
      <w:tr w:rsidR="00B72890" w:rsidRPr="00FB5173" w14:paraId="339C895A" w14:textId="77777777">
        <w:trPr>
          <w:cantSplit/>
          <w:trHeight w:val="324"/>
        </w:trPr>
        <w:tc>
          <w:tcPr>
            <w:tcW w:w="6948" w:type="dxa"/>
          </w:tcPr>
          <w:p w14:paraId="670DBFB8" w14:textId="77777777" w:rsidR="00B72890" w:rsidRPr="00404F05" w:rsidRDefault="001B1506" w:rsidP="00193E31">
            <w:pPr>
              <w:pStyle w:val="Level2"/>
              <w:spacing w:after="0"/>
            </w:pPr>
            <w:r w:rsidRPr="00404F05">
              <w:tab/>
              <w:t>.2</w:t>
            </w:r>
            <w:r w:rsidRPr="00404F05">
              <w:tab/>
              <w:t>Zoning.</w:t>
            </w:r>
          </w:p>
        </w:tc>
        <w:tc>
          <w:tcPr>
            <w:tcW w:w="450" w:type="dxa"/>
            <w:tcBorders>
              <w:left w:val="single" w:sz="6" w:space="0" w:color="auto"/>
            </w:tcBorders>
          </w:tcPr>
          <w:p w14:paraId="1580D83A" w14:textId="77777777" w:rsidR="00B72890" w:rsidRPr="00193E31" w:rsidRDefault="00B72890" w:rsidP="00193E31">
            <w:pPr>
              <w:pStyle w:val="Level2"/>
              <w:spacing w:after="0"/>
              <w:rPr>
                <w:sz w:val="32"/>
                <w:szCs w:val="32"/>
              </w:rPr>
            </w:pPr>
          </w:p>
        </w:tc>
        <w:tc>
          <w:tcPr>
            <w:tcW w:w="450" w:type="dxa"/>
            <w:tcBorders>
              <w:left w:val="single" w:sz="6" w:space="0" w:color="auto"/>
            </w:tcBorders>
          </w:tcPr>
          <w:p w14:paraId="0AF3EF82" w14:textId="77777777" w:rsidR="00B72890" w:rsidRPr="00193E31" w:rsidRDefault="00B72890" w:rsidP="00193E31">
            <w:pPr>
              <w:pStyle w:val="Level2"/>
              <w:spacing w:after="0"/>
              <w:rPr>
                <w:sz w:val="32"/>
                <w:szCs w:val="32"/>
              </w:rPr>
            </w:pPr>
          </w:p>
        </w:tc>
        <w:tc>
          <w:tcPr>
            <w:tcW w:w="450" w:type="dxa"/>
            <w:tcBorders>
              <w:left w:val="single" w:sz="6" w:space="0" w:color="auto"/>
            </w:tcBorders>
          </w:tcPr>
          <w:p w14:paraId="4B37F7D0" w14:textId="77777777" w:rsidR="00B72890" w:rsidRPr="00193E31" w:rsidRDefault="00B72890" w:rsidP="00193E31">
            <w:pPr>
              <w:pStyle w:val="Level2"/>
              <w:spacing w:after="0"/>
              <w:rPr>
                <w:sz w:val="32"/>
                <w:szCs w:val="32"/>
              </w:rPr>
            </w:pPr>
          </w:p>
        </w:tc>
        <w:tc>
          <w:tcPr>
            <w:tcW w:w="1001" w:type="dxa"/>
            <w:tcBorders>
              <w:left w:val="single" w:sz="6" w:space="0" w:color="auto"/>
            </w:tcBorders>
          </w:tcPr>
          <w:p w14:paraId="3D2AB922" w14:textId="77777777" w:rsidR="00B72890" w:rsidRPr="00193E31" w:rsidRDefault="00B72890" w:rsidP="00193E31">
            <w:pPr>
              <w:pStyle w:val="Level2"/>
              <w:spacing w:after="0"/>
              <w:rPr>
                <w:sz w:val="32"/>
                <w:szCs w:val="32"/>
              </w:rPr>
            </w:pPr>
          </w:p>
        </w:tc>
        <w:tc>
          <w:tcPr>
            <w:tcW w:w="1001" w:type="dxa"/>
            <w:tcBorders>
              <w:left w:val="single" w:sz="6" w:space="0" w:color="auto"/>
            </w:tcBorders>
          </w:tcPr>
          <w:p w14:paraId="2B0D2DA3" w14:textId="77777777" w:rsidR="00B72890" w:rsidRPr="00193E31" w:rsidRDefault="00B72890" w:rsidP="00193E31">
            <w:pPr>
              <w:pStyle w:val="Level2"/>
              <w:spacing w:after="0"/>
              <w:rPr>
                <w:sz w:val="32"/>
                <w:szCs w:val="32"/>
              </w:rPr>
            </w:pPr>
          </w:p>
        </w:tc>
      </w:tr>
      <w:tr w:rsidR="00B72890" w:rsidRPr="00FB5173" w14:paraId="589FF4DA" w14:textId="77777777" w:rsidTr="00193E31">
        <w:trPr>
          <w:cantSplit/>
          <w:trHeight w:val="351"/>
        </w:trPr>
        <w:tc>
          <w:tcPr>
            <w:tcW w:w="6948" w:type="dxa"/>
          </w:tcPr>
          <w:p w14:paraId="174E11F2" w14:textId="77777777" w:rsidR="00B72890" w:rsidRPr="00404F05" w:rsidRDefault="001B1506" w:rsidP="00193E31">
            <w:pPr>
              <w:pStyle w:val="Level2"/>
              <w:spacing w:after="0"/>
              <w:ind w:left="1166" w:hanging="1166"/>
            </w:pPr>
            <w:r w:rsidRPr="00404F05">
              <w:tab/>
              <w:t>.3</w:t>
            </w:r>
            <w:r w:rsidRPr="00404F05">
              <w:tab/>
              <w:t>Property taxes.</w:t>
            </w:r>
          </w:p>
        </w:tc>
        <w:tc>
          <w:tcPr>
            <w:tcW w:w="450" w:type="dxa"/>
            <w:tcBorders>
              <w:left w:val="single" w:sz="6" w:space="0" w:color="auto"/>
            </w:tcBorders>
          </w:tcPr>
          <w:p w14:paraId="291338FF" w14:textId="77777777" w:rsidR="00B72890" w:rsidRPr="00193E31" w:rsidRDefault="00B72890" w:rsidP="00193E31">
            <w:pPr>
              <w:pStyle w:val="Level2"/>
              <w:spacing w:after="0"/>
              <w:rPr>
                <w:sz w:val="32"/>
                <w:szCs w:val="32"/>
              </w:rPr>
            </w:pPr>
          </w:p>
        </w:tc>
        <w:tc>
          <w:tcPr>
            <w:tcW w:w="450" w:type="dxa"/>
            <w:tcBorders>
              <w:left w:val="single" w:sz="6" w:space="0" w:color="auto"/>
            </w:tcBorders>
          </w:tcPr>
          <w:p w14:paraId="617E5E6F" w14:textId="77777777" w:rsidR="00B72890" w:rsidRPr="00193E31" w:rsidRDefault="00B72890" w:rsidP="00193E31">
            <w:pPr>
              <w:pStyle w:val="Level2"/>
              <w:spacing w:after="0"/>
              <w:rPr>
                <w:sz w:val="32"/>
                <w:szCs w:val="32"/>
              </w:rPr>
            </w:pPr>
          </w:p>
        </w:tc>
        <w:tc>
          <w:tcPr>
            <w:tcW w:w="450" w:type="dxa"/>
            <w:tcBorders>
              <w:left w:val="single" w:sz="6" w:space="0" w:color="auto"/>
            </w:tcBorders>
          </w:tcPr>
          <w:p w14:paraId="47F9B352" w14:textId="77777777" w:rsidR="00B72890" w:rsidRPr="00193E31" w:rsidRDefault="00B72890" w:rsidP="00193E31">
            <w:pPr>
              <w:pStyle w:val="Level2"/>
              <w:spacing w:after="0"/>
              <w:rPr>
                <w:sz w:val="32"/>
                <w:szCs w:val="32"/>
              </w:rPr>
            </w:pPr>
          </w:p>
        </w:tc>
        <w:tc>
          <w:tcPr>
            <w:tcW w:w="1001" w:type="dxa"/>
            <w:tcBorders>
              <w:left w:val="single" w:sz="6" w:space="0" w:color="auto"/>
            </w:tcBorders>
          </w:tcPr>
          <w:p w14:paraId="51613950" w14:textId="77777777" w:rsidR="00B72890" w:rsidRPr="00193E31" w:rsidRDefault="00B72890" w:rsidP="00193E31">
            <w:pPr>
              <w:pStyle w:val="Level2"/>
              <w:spacing w:after="0"/>
              <w:rPr>
                <w:sz w:val="32"/>
                <w:szCs w:val="32"/>
              </w:rPr>
            </w:pPr>
          </w:p>
        </w:tc>
        <w:tc>
          <w:tcPr>
            <w:tcW w:w="1001" w:type="dxa"/>
            <w:tcBorders>
              <w:left w:val="single" w:sz="6" w:space="0" w:color="auto"/>
            </w:tcBorders>
          </w:tcPr>
          <w:p w14:paraId="19E09AD1" w14:textId="77777777" w:rsidR="00B72890" w:rsidRPr="00193E31" w:rsidRDefault="00B72890" w:rsidP="00193E31">
            <w:pPr>
              <w:pStyle w:val="Level2"/>
              <w:spacing w:after="0"/>
              <w:rPr>
                <w:sz w:val="32"/>
                <w:szCs w:val="32"/>
              </w:rPr>
            </w:pPr>
          </w:p>
        </w:tc>
      </w:tr>
      <w:tr w:rsidR="00B72890" w:rsidRPr="00FB5173" w14:paraId="3D6BEAE0" w14:textId="77777777">
        <w:trPr>
          <w:cantSplit/>
          <w:trHeight w:val="198"/>
        </w:trPr>
        <w:tc>
          <w:tcPr>
            <w:tcW w:w="6948" w:type="dxa"/>
          </w:tcPr>
          <w:p w14:paraId="0B81407E" w14:textId="42B4F7B9" w:rsidR="00B72890" w:rsidRPr="00404F05" w:rsidRDefault="001B1506">
            <w:pPr>
              <w:pStyle w:val="Level2"/>
            </w:pPr>
            <w:r w:rsidRPr="00404F05">
              <w:tab/>
              <w:t>.4</w:t>
            </w:r>
            <w:r w:rsidRPr="00404F05">
              <w:tab/>
              <w:t xml:space="preserve">Environmental inquiries (Contaminated Site Registry, Ministry of </w:t>
            </w:r>
            <w:r w:rsidRPr="00404F05">
              <w:rPr>
                <w:spacing w:val="-4"/>
              </w:rPr>
              <w:t>Environment and Climate Change Strategy, municipality, investigation of property).</w:t>
            </w:r>
          </w:p>
        </w:tc>
        <w:tc>
          <w:tcPr>
            <w:tcW w:w="450" w:type="dxa"/>
            <w:tcBorders>
              <w:left w:val="single" w:sz="6" w:space="0" w:color="auto"/>
            </w:tcBorders>
          </w:tcPr>
          <w:p w14:paraId="7893C776" w14:textId="77777777" w:rsidR="00B72890" w:rsidRPr="00193E31" w:rsidRDefault="00B72890">
            <w:pPr>
              <w:pStyle w:val="Level2"/>
              <w:rPr>
                <w:sz w:val="32"/>
                <w:szCs w:val="32"/>
              </w:rPr>
            </w:pPr>
          </w:p>
        </w:tc>
        <w:tc>
          <w:tcPr>
            <w:tcW w:w="450" w:type="dxa"/>
            <w:tcBorders>
              <w:left w:val="single" w:sz="6" w:space="0" w:color="auto"/>
            </w:tcBorders>
          </w:tcPr>
          <w:p w14:paraId="5857E1B7" w14:textId="77777777" w:rsidR="00B72890" w:rsidRPr="00193E31" w:rsidRDefault="00B72890">
            <w:pPr>
              <w:pStyle w:val="Level2"/>
              <w:rPr>
                <w:sz w:val="32"/>
                <w:szCs w:val="32"/>
              </w:rPr>
            </w:pPr>
          </w:p>
        </w:tc>
        <w:tc>
          <w:tcPr>
            <w:tcW w:w="450" w:type="dxa"/>
            <w:tcBorders>
              <w:left w:val="single" w:sz="6" w:space="0" w:color="auto"/>
            </w:tcBorders>
          </w:tcPr>
          <w:p w14:paraId="3E7B2064" w14:textId="77777777" w:rsidR="00B72890" w:rsidRPr="00193E31" w:rsidRDefault="00B72890">
            <w:pPr>
              <w:pStyle w:val="Level2"/>
              <w:rPr>
                <w:sz w:val="32"/>
                <w:szCs w:val="32"/>
              </w:rPr>
            </w:pPr>
          </w:p>
        </w:tc>
        <w:tc>
          <w:tcPr>
            <w:tcW w:w="1001" w:type="dxa"/>
            <w:tcBorders>
              <w:left w:val="single" w:sz="6" w:space="0" w:color="auto"/>
            </w:tcBorders>
          </w:tcPr>
          <w:p w14:paraId="14968049" w14:textId="77777777" w:rsidR="00B72890" w:rsidRPr="00193E31" w:rsidRDefault="00B72890">
            <w:pPr>
              <w:pStyle w:val="Level2"/>
              <w:rPr>
                <w:sz w:val="32"/>
                <w:szCs w:val="32"/>
              </w:rPr>
            </w:pPr>
          </w:p>
        </w:tc>
        <w:tc>
          <w:tcPr>
            <w:tcW w:w="1001" w:type="dxa"/>
            <w:tcBorders>
              <w:left w:val="single" w:sz="6" w:space="0" w:color="auto"/>
            </w:tcBorders>
          </w:tcPr>
          <w:p w14:paraId="6CC42FD5" w14:textId="77777777" w:rsidR="00B72890" w:rsidRPr="00193E31" w:rsidRDefault="00B72890">
            <w:pPr>
              <w:pStyle w:val="Level2"/>
              <w:rPr>
                <w:sz w:val="32"/>
                <w:szCs w:val="32"/>
              </w:rPr>
            </w:pPr>
          </w:p>
        </w:tc>
      </w:tr>
      <w:tr w:rsidR="00B72890" w:rsidRPr="00FB5173" w14:paraId="4F05F276" w14:textId="77777777">
        <w:trPr>
          <w:cantSplit/>
          <w:trHeight w:val="243"/>
        </w:trPr>
        <w:tc>
          <w:tcPr>
            <w:tcW w:w="6948" w:type="dxa"/>
          </w:tcPr>
          <w:p w14:paraId="701E6DD0" w14:textId="77777777" w:rsidR="00B72890" w:rsidRPr="00404F05" w:rsidRDefault="001B1506">
            <w:pPr>
              <w:pStyle w:val="Level111G1"/>
            </w:pPr>
            <w:r w:rsidRPr="00404F05">
              <w:tab/>
              <w:t>3.5</w:t>
            </w:r>
            <w:r w:rsidRPr="00404F05">
              <w:tab/>
              <w:t xml:space="preserve">Conduct company search on corporate parties to confirm name of each corporate party </w:t>
            </w:r>
            <w:proofErr w:type="gramStart"/>
            <w:r w:rsidRPr="00404F05">
              <w:t>and  ensure</w:t>
            </w:r>
            <w:proofErr w:type="gramEnd"/>
            <w:r w:rsidRPr="00404F05">
              <w:t xml:space="preserve"> each corporate party’s annual filings are up to date.</w:t>
            </w:r>
          </w:p>
        </w:tc>
        <w:tc>
          <w:tcPr>
            <w:tcW w:w="450" w:type="dxa"/>
            <w:tcBorders>
              <w:left w:val="single" w:sz="6" w:space="0" w:color="auto"/>
            </w:tcBorders>
          </w:tcPr>
          <w:p w14:paraId="5A67A79E" w14:textId="77777777" w:rsidR="00B72890" w:rsidRPr="00193E31" w:rsidRDefault="00B72890">
            <w:pPr>
              <w:pStyle w:val="Level111G1"/>
              <w:rPr>
                <w:sz w:val="32"/>
                <w:szCs w:val="32"/>
              </w:rPr>
            </w:pPr>
          </w:p>
        </w:tc>
        <w:tc>
          <w:tcPr>
            <w:tcW w:w="450" w:type="dxa"/>
            <w:tcBorders>
              <w:left w:val="single" w:sz="6" w:space="0" w:color="auto"/>
            </w:tcBorders>
          </w:tcPr>
          <w:p w14:paraId="55963755" w14:textId="77777777" w:rsidR="00B72890" w:rsidRPr="00193E31" w:rsidRDefault="00B72890">
            <w:pPr>
              <w:pStyle w:val="Level111G1"/>
              <w:rPr>
                <w:sz w:val="32"/>
                <w:szCs w:val="32"/>
              </w:rPr>
            </w:pPr>
          </w:p>
        </w:tc>
        <w:tc>
          <w:tcPr>
            <w:tcW w:w="450" w:type="dxa"/>
            <w:tcBorders>
              <w:left w:val="single" w:sz="6" w:space="0" w:color="auto"/>
            </w:tcBorders>
          </w:tcPr>
          <w:p w14:paraId="7ED59709" w14:textId="77777777" w:rsidR="00B72890" w:rsidRPr="00193E31" w:rsidRDefault="00B72890">
            <w:pPr>
              <w:pStyle w:val="Level111G1"/>
              <w:rPr>
                <w:sz w:val="32"/>
                <w:szCs w:val="32"/>
              </w:rPr>
            </w:pPr>
          </w:p>
        </w:tc>
        <w:tc>
          <w:tcPr>
            <w:tcW w:w="1001" w:type="dxa"/>
            <w:tcBorders>
              <w:left w:val="single" w:sz="6" w:space="0" w:color="auto"/>
            </w:tcBorders>
          </w:tcPr>
          <w:p w14:paraId="63102855" w14:textId="77777777" w:rsidR="00B72890" w:rsidRPr="00193E31" w:rsidRDefault="00B72890">
            <w:pPr>
              <w:pStyle w:val="Level111G1"/>
              <w:rPr>
                <w:sz w:val="32"/>
                <w:szCs w:val="32"/>
              </w:rPr>
            </w:pPr>
          </w:p>
        </w:tc>
        <w:tc>
          <w:tcPr>
            <w:tcW w:w="1001" w:type="dxa"/>
            <w:tcBorders>
              <w:left w:val="single" w:sz="6" w:space="0" w:color="auto"/>
            </w:tcBorders>
          </w:tcPr>
          <w:p w14:paraId="7DE82CA7" w14:textId="77777777" w:rsidR="00B72890" w:rsidRPr="00193E31" w:rsidRDefault="00B72890">
            <w:pPr>
              <w:pStyle w:val="Level111G1"/>
              <w:rPr>
                <w:sz w:val="32"/>
                <w:szCs w:val="32"/>
              </w:rPr>
            </w:pPr>
          </w:p>
        </w:tc>
      </w:tr>
      <w:tr w:rsidR="00B72890" w:rsidRPr="00FB5173" w14:paraId="23B49CBE" w14:textId="77777777">
        <w:trPr>
          <w:trHeight w:val="990"/>
        </w:trPr>
        <w:tc>
          <w:tcPr>
            <w:tcW w:w="6948" w:type="dxa"/>
          </w:tcPr>
          <w:p w14:paraId="32337302" w14:textId="77777777" w:rsidR="00B72890" w:rsidRPr="00404F05" w:rsidRDefault="001B1506">
            <w:pPr>
              <w:pStyle w:val="Level111G1"/>
            </w:pPr>
            <w:r w:rsidRPr="00404F05">
              <w:tab/>
              <w:t>3.6</w:t>
            </w:r>
            <w:r w:rsidRPr="00404F05">
              <w:tab/>
              <w:t xml:space="preserve">If the premises to be leased are on an unsubdivided portion of a legal lot, consider the effect and application of </w:t>
            </w:r>
            <w:r w:rsidRPr="00404F05">
              <w:rPr>
                <w:rStyle w:val="Italics"/>
                <w:rFonts w:ascii="Times New Roman" w:hAnsi="Times New Roman"/>
              </w:rPr>
              <w:t>Land Title Act</w:t>
            </w:r>
            <w:r w:rsidRPr="00404F05">
              <w:t xml:space="preserve">, ss. 73(1) and 73.1. Note that s. 73(3) provides that s. 73(1) does not apply to a subdivision for the purposes of leasing a building or part of a building. </w:t>
            </w:r>
          </w:p>
        </w:tc>
        <w:tc>
          <w:tcPr>
            <w:tcW w:w="450" w:type="dxa"/>
            <w:tcBorders>
              <w:left w:val="single" w:sz="6" w:space="0" w:color="auto"/>
            </w:tcBorders>
          </w:tcPr>
          <w:p w14:paraId="7ACFDAE8" w14:textId="77777777" w:rsidR="00B72890" w:rsidRPr="00193E31" w:rsidRDefault="00B72890">
            <w:pPr>
              <w:pStyle w:val="Level111G1"/>
              <w:rPr>
                <w:sz w:val="32"/>
                <w:szCs w:val="32"/>
              </w:rPr>
            </w:pPr>
          </w:p>
        </w:tc>
        <w:tc>
          <w:tcPr>
            <w:tcW w:w="450" w:type="dxa"/>
            <w:tcBorders>
              <w:left w:val="single" w:sz="6" w:space="0" w:color="auto"/>
            </w:tcBorders>
          </w:tcPr>
          <w:p w14:paraId="130DE58E" w14:textId="77777777" w:rsidR="00B72890" w:rsidRPr="00193E31" w:rsidRDefault="00B72890">
            <w:pPr>
              <w:pStyle w:val="Level111G1"/>
              <w:rPr>
                <w:sz w:val="32"/>
                <w:szCs w:val="32"/>
              </w:rPr>
            </w:pPr>
          </w:p>
        </w:tc>
        <w:tc>
          <w:tcPr>
            <w:tcW w:w="450" w:type="dxa"/>
            <w:tcBorders>
              <w:left w:val="single" w:sz="6" w:space="0" w:color="auto"/>
            </w:tcBorders>
          </w:tcPr>
          <w:p w14:paraId="172C2206" w14:textId="77777777" w:rsidR="00B72890" w:rsidRPr="00193E31" w:rsidRDefault="00B72890">
            <w:pPr>
              <w:pStyle w:val="Level111G1"/>
              <w:rPr>
                <w:sz w:val="32"/>
                <w:szCs w:val="32"/>
              </w:rPr>
            </w:pPr>
          </w:p>
        </w:tc>
        <w:tc>
          <w:tcPr>
            <w:tcW w:w="1001" w:type="dxa"/>
            <w:tcBorders>
              <w:left w:val="single" w:sz="6" w:space="0" w:color="auto"/>
            </w:tcBorders>
          </w:tcPr>
          <w:p w14:paraId="132204D1" w14:textId="77777777" w:rsidR="00B72890" w:rsidRPr="00193E31" w:rsidRDefault="00B72890">
            <w:pPr>
              <w:pStyle w:val="Level111G1"/>
              <w:rPr>
                <w:sz w:val="32"/>
                <w:szCs w:val="32"/>
              </w:rPr>
            </w:pPr>
          </w:p>
        </w:tc>
        <w:tc>
          <w:tcPr>
            <w:tcW w:w="1001" w:type="dxa"/>
            <w:tcBorders>
              <w:left w:val="single" w:sz="6" w:space="0" w:color="auto"/>
            </w:tcBorders>
          </w:tcPr>
          <w:p w14:paraId="1B1F8817" w14:textId="77777777" w:rsidR="00B72890" w:rsidRPr="00193E31" w:rsidRDefault="00B72890">
            <w:pPr>
              <w:pStyle w:val="Level111G1"/>
              <w:rPr>
                <w:sz w:val="32"/>
                <w:szCs w:val="32"/>
              </w:rPr>
            </w:pPr>
          </w:p>
        </w:tc>
      </w:tr>
      <w:tr w:rsidR="00B72890" w:rsidRPr="00FB5173" w14:paraId="6033F693" w14:textId="77777777">
        <w:trPr>
          <w:cantSplit/>
          <w:trHeight w:val="378"/>
        </w:trPr>
        <w:tc>
          <w:tcPr>
            <w:tcW w:w="6948" w:type="dxa"/>
          </w:tcPr>
          <w:p w14:paraId="62EDFC50" w14:textId="77777777" w:rsidR="00B72890" w:rsidRPr="00404F05" w:rsidRDefault="001B1506">
            <w:pPr>
              <w:pStyle w:val="Level111G1"/>
            </w:pPr>
            <w:r w:rsidRPr="00404F05">
              <w:tab/>
              <w:t>3.7</w:t>
            </w:r>
            <w:r w:rsidRPr="00404F05">
              <w:tab/>
              <w:t>If the premises are strata property, determine whether any special levies have been assessed that will be passed on to the tenant as part of operating costs, or if any will be in future. Also, review the bylaws and rules of the strata corporation. See also item 2.6.14 in this checklist.</w:t>
            </w:r>
          </w:p>
        </w:tc>
        <w:tc>
          <w:tcPr>
            <w:tcW w:w="450" w:type="dxa"/>
            <w:tcBorders>
              <w:left w:val="single" w:sz="6" w:space="0" w:color="auto"/>
            </w:tcBorders>
          </w:tcPr>
          <w:p w14:paraId="5EF57A5A" w14:textId="77777777" w:rsidR="00B72890" w:rsidRPr="00193E31" w:rsidRDefault="00B72890">
            <w:pPr>
              <w:pStyle w:val="Level111G1"/>
              <w:rPr>
                <w:sz w:val="32"/>
                <w:szCs w:val="32"/>
              </w:rPr>
            </w:pPr>
          </w:p>
        </w:tc>
        <w:tc>
          <w:tcPr>
            <w:tcW w:w="450" w:type="dxa"/>
            <w:tcBorders>
              <w:left w:val="single" w:sz="6" w:space="0" w:color="auto"/>
            </w:tcBorders>
          </w:tcPr>
          <w:p w14:paraId="0A63C11D" w14:textId="77777777" w:rsidR="00B72890" w:rsidRPr="00193E31" w:rsidRDefault="00B72890">
            <w:pPr>
              <w:pStyle w:val="Level111G1"/>
              <w:rPr>
                <w:sz w:val="32"/>
                <w:szCs w:val="32"/>
              </w:rPr>
            </w:pPr>
          </w:p>
        </w:tc>
        <w:tc>
          <w:tcPr>
            <w:tcW w:w="450" w:type="dxa"/>
            <w:tcBorders>
              <w:left w:val="single" w:sz="6" w:space="0" w:color="auto"/>
            </w:tcBorders>
          </w:tcPr>
          <w:p w14:paraId="2FF43706" w14:textId="77777777" w:rsidR="00B72890" w:rsidRPr="00193E31" w:rsidRDefault="00B72890">
            <w:pPr>
              <w:pStyle w:val="Level111G1"/>
              <w:rPr>
                <w:sz w:val="32"/>
                <w:szCs w:val="32"/>
              </w:rPr>
            </w:pPr>
          </w:p>
        </w:tc>
        <w:tc>
          <w:tcPr>
            <w:tcW w:w="1001" w:type="dxa"/>
            <w:tcBorders>
              <w:left w:val="single" w:sz="6" w:space="0" w:color="auto"/>
            </w:tcBorders>
          </w:tcPr>
          <w:p w14:paraId="46EFB194" w14:textId="77777777" w:rsidR="00B72890" w:rsidRPr="00193E31" w:rsidRDefault="00B72890">
            <w:pPr>
              <w:pStyle w:val="Level111G1"/>
              <w:rPr>
                <w:sz w:val="32"/>
                <w:szCs w:val="32"/>
              </w:rPr>
            </w:pPr>
          </w:p>
        </w:tc>
        <w:tc>
          <w:tcPr>
            <w:tcW w:w="1001" w:type="dxa"/>
            <w:tcBorders>
              <w:left w:val="single" w:sz="6" w:space="0" w:color="auto"/>
            </w:tcBorders>
          </w:tcPr>
          <w:p w14:paraId="747C50C8" w14:textId="77777777" w:rsidR="00B72890" w:rsidRPr="00193E31" w:rsidRDefault="00B72890">
            <w:pPr>
              <w:pStyle w:val="Level111G1"/>
              <w:rPr>
                <w:sz w:val="32"/>
                <w:szCs w:val="32"/>
              </w:rPr>
            </w:pPr>
          </w:p>
        </w:tc>
      </w:tr>
      <w:tr w:rsidR="00B72890" w:rsidRPr="00FB5173" w14:paraId="67179A3D" w14:textId="77777777" w:rsidTr="008D4DC4">
        <w:trPr>
          <w:cantSplit/>
          <w:trHeight w:val="414"/>
        </w:trPr>
        <w:tc>
          <w:tcPr>
            <w:tcW w:w="6948" w:type="dxa"/>
          </w:tcPr>
          <w:p w14:paraId="44875139" w14:textId="77777777" w:rsidR="00B72890" w:rsidRPr="00404F05" w:rsidRDefault="001B1506" w:rsidP="008D4DC4">
            <w:pPr>
              <w:pStyle w:val="Level111G1"/>
              <w:spacing w:before="0" w:after="0"/>
            </w:pPr>
            <w:r w:rsidRPr="00404F05">
              <w:tab/>
              <w:t>3.8</w:t>
            </w:r>
            <w:r w:rsidRPr="00404F05">
              <w:tab/>
              <w:t>Discuss the results of your searches and inquiries with the client.</w:t>
            </w:r>
          </w:p>
        </w:tc>
        <w:tc>
          <w:tcPr>
            <w:tcW w:w="450" w:type="dxa"/>
            <w:tcBorders>
              <w:left w:val="single" w:sz="6" w:space="0" w:color="auto"/>
            </w:tcBorders>
          </w:tcPr>
          <w:p w14:paraId="1643E029" w14:textId="77777777" w:rsidR="00B72890" w:rsidRPr="00193E31" w:rsidRDefault="00B72890" w:rsidP="008D4DC4">
            <w:pPr>
              <w:pStyle w:val="Level111G1"/>
              <w:spacing w:before="0" w:after="0"/>
              <w:rPr>
                <w:sz w:val="32"/>
                <w:szCs w:val="32"/>
              </w:rPr>
            </w:pPr>
          </w:p>
        </w:tc>
        <w:tc>
          <w:tcPr>
            <w:tcW w:w="450" w:type="dxa"/>
            <w:tcBorders>
              <w:left w:val="single" w:sz="6" w:space="0" w:color="auto"/>
            </w:tcBorders>
          </w:tcPr>
          <w:p w14:paraId="44FB4050" w14:textId="77777777" w:rsidR="00B72890" w:rsidRPr="00193E31" w:rsidRDefault="00B72890" w:rsidP="008D4DC4">
            <w:pPr>
              <w:pStyle w:val="Level111G1"/>
              <w:spacing w:before="0" w:after="0"/>
              <w:rPr>
                <w:sz w:val="32"/>
                <w:szCs w:val="32"/>
              </w:rPr>
            </w:pPr>
          </w:p>
        </w:tc>
        <w:tc>
          <w:tcPr>
            <w:tcW w:w="450" w:type="dxa"/>
            <w:tcBorders>
              <w:left w:val="single" w:sz="6" w:space="0" w:color="auto"/>
            </w:tcBorders>
          </w:tcPr>
          <w:p w14:paraId="75DF1879" w14:textId="77777777" w:rsidR="00B72890" w:rsidRPr="00193E31" w:rsidRDefault="00B72890" w:rsidP="008D4DC4">
            <w:pPr>
              <w:pStyle w:val="Level111G1"/>
              <w:spacing w:before="0" w:after="0"/>
              <w:rPr>
                <w:sz w:val="32"/>
                <w:szCs w:val="32"/>
              </w:rPr>
            </w:pPr>
          </w:p>
        </w:tc>
        <w:tc>
          <w:tcPr>
            <w:tcW w:w="1001" w:type="dxa"/>
            <w:tcBorders>
              <w:left w:val="single" w:sz="6" w:space="0" w:color="auto"/>
            </w:tcBorders>
          </w:tcPr>
          <w:p w14:paraId="0ABACAE1" w14:textId="77777777" w:rsidR="00B72890" w:rsidRPr="00193E31" w:rsidRDefault="00B72890" w:rsidP="008D4DC4">
            <w:pPr>
              <w:pStyle w:val="Level111G1"/>
              <w:spacing w:before="0" w:after="0"/>
              <w:rPr>
                <w:sz w:val="32"/>
                <w:szCs w:val="32"/>
              </w:rPr>
            </w:pPr>
          </w:p>
        </w:tc>
        <w:tc>
          <w:tcPr>
            <w:tcW w:w="1001" w:type="dxa"/>
            <w:tcBorders>
              <w:left w:val="single" w:sz="6" w:space="0" w:color="auto"/>
            </w:tcBorders>
          </w:tcPr>
          <w:p w14:paraId="3B05C306" w14:textId="77777777" w:rsidR="00B72890" w:rsidRPr="00193E31" w:rsidRDefault="00B72890" w:rsidP="008D4DC4">
            <w:pPr>
              <w:pStyle w:val="Level111G1"/>
              <w:spacing w:before="0" w:after="0"/>
              <w:rPr>
                <w:sz w:val="32"/>
                <w:szCs w:val="32"/>
              </w:rPr>
            </w:pPr>
          </w:p>
        </w:tc>
      </w:tr>
      <w:tr w:rsidR="00B72890" w:rsidRPr="00FB5173" w14:paraId="04E877B7" w14:textId="77777777" w:rsidTr="00193E31">
        <w:trPr>
          <w:cantSplit/>
          <w:trHeight w:val="387"/>
        </w:trPr>
        <w:tc>
          <w:tcPr>
            <w:tcW w:w="6948" w:type="dxa"/>
          </w:tcPr>
          <w:p w14:paraId="0F8506EE" w14:textId="77777777" w:rsidR="00B72890" w:rsidRPr="00404F05" w:rsidRDefault="001B1506" w:rsidP="008D4DC4">
            <w:pPr>
              <w:pStyle w:val="Level111G1"/>
              <w:spacing w:before="0" w:after="0"/>
            </w:pPr>
            <w:r w:rsidRPr="00404F05">
              <w:tab/>
              <w:t>3.9</w:t>
            </w:r>
            <w:r w:rsidRPr="00404F05">
              <w:tab/>
              <w:t>Prepare or obtain supplementary documents, such as:</w:t>
            </w:r>
          </w:p>
        </w:tc>
        <w:tc>
          <w:tcPr>
            <w:tcW w:w="450" w:type="dxa"/>
            <w:tcBorders>
              <w:left w:val="single" w:sz="6" w:space="0" w:color="auto"/>
            </w:tcBorders>
          </w:tcPr>
          <w:p w14:paraId="7D679A18" w14:textId="77777777" w:rsidR="00B72890" w:rsidRPr="00193E31" w:rsidRDefault="00B72890" w:rsidP="008D4DC4">
            <w:pPr>
              <w:pStyle w:val="Level111G1"/>
              <w:spacing w:before="0" w:after="0"/>
              <w:rPr>
                <w:sz w:val="32"/>
                <w:szCs w:val="32"/>
              </w:rPr>
            </w:pPr>
          </w:p>
        </w:tc>
        <w:tc>
          <w:tcPr>
            <w:tcW w:w="450" w:type="dxa"/>
            <w:tcBorders>
              <w:left w:val="single" w:sz="6" w:space="0" w:color="auto"/>
            </w:tcBorders>
          </w:tcPr>
          <w:p w14:paraId="0A8F8F6C" w14:textId="77777777" w:rsidR="00B72890" w:rsidRPr="00193E31" w:rsidRDefault="00B72890" w:rsidP="008D4DC4">
            <w:pPr>
              <w:pStyle w:val="Level111G1"/>
              <w:spacing w:before="0" w:after="0"/>
              <w:rPr>
                <w:sz w:val="32"/>
                <w:szCs w:val="32"/>
              </w:rPr>
            </w:pPr>
          </w:p>
        </w:tc>
        <w:tc>
          <w:tcPr>
            <w:tcW w:w="450" w:type="dxa"/>
            <w:tcBorders>
              <w:left w:val="single" w:sz="6" w:space="0" w:color="auto"/>
            </w:tcBorders>
          </w:tcPr>
          <w:p w14:paraId="407DC9B9" w14:textId="77777777" w:rsidR="00B72890" w:rsidRPr="00193E31" w:rsidRDefault="00B72890" w:rsidP="008D4DC4">
            <w:pPr>
              <w:pStyle w:val="Level111G1"/>
              <w:spacing w:before="0" w:after="0"/>
              <w:rPr>
                <w:sz w:val="32"/>
                <w:szCs w:val="32"/>
              </w:rPr>
            </w:pPr>
          </w:p>
        </w:tc>
        <w:tc>
          <w:tcPr>
            <w:tcW w:w="1001" w:type="dxa"/>
            <w:tcBorders>
              <w:left w:val="single" w:sz="6" w:space="0" w:color="auto"/>
            </w:tcBorders>
          </w:tcPr>
          <w:p w14:paraId="34B08D7B" w14:textId="77777777" w:rsidR="00B72890" w:rsidRPr="00193E31" w:rsidRDefault="00B72890" w:rsidP="008D4DC4">
            <w:pPr>
              <w:pStyle w:val="Level111G1"/>
              <w:spacing w:before="0" w:after="0"/>
              <w:rPr>
                <w:sz w:val="32"/>
                <w:szCs w:val="32"/>
              </w:rPr>
            </w:pPr>
          </w:p>
        </w:tc>
        <w:tc>
          <w:tcPr>
            <w:tcW w:w="1001" w:type="dxa"/>
            <w:tcBorders>
              <w:left w:val="single" w:sz="6" w:space="0" w:color="auto"/>
            </w:tcBorders>
          </w:tcPr>
          <w:p w14:paraId="74308843" w14:textId="77777777" w:rsidR="00B72890" w:rsidRPr="00193E31" w:rsidRDefault="00B72890" w:rsidP="008D4DC4">
            <w:pPr>
              <w:pStyle w:val="Level111G1"/>
              <w:spacing w:before="0" w:after="0"/>
              <w:rPr>
                <w:sz w:val="32"/>
                <w:szCs w:val="32"/>
              </w:rPr>
            </w:pPr>
          </w:p>
        </w:tc>
      </w:tr>
      <w:tr w:rsidR="00B72890" w:rsidRPr="00FB5173" w14:paraId="40141381" w14:textId="77777777" w:rsidTr="002A4C75">
        <w:trPr>
          <w:cantSplit/>
          <w:trHeight w:val="441"/>
        </w:trPr>
        <w:tc>
          <w:tcPr>
            <w:tcW w:w="6948" w:type="dxa"/>
          </w:tcPr>
          <w:p w14:paraId="6545673E" w14:textId="77777777" w:rsidR="00B72890" w:rsidRPr="00404F05" w:rsidRDefault="001B1506" w:rsidP="008D4DC4">
            <w:pPr>
              <w:pStyle w:val="Level2"/>
              <w:spacing w:before="0" w:after="0"/>
              <w:ind w:left="1166" w:hanging="1166"/>
            </w:pPr>
            <w:r w:rsidRPr="00404F05">
              <w:tab/>
              <w:t>.1</w:t>
            </w:r>
            <w:r w:rsidRPr="00404F05">
              <w:tab/>
              <w:t>For corporate parties:</w:t>
            </w:r>
          </w:p>
        </w:tc>
        <w:tc>
          <w:tcPr>
            <w:tcW w:w="450" w:type="dxa"/>
            <w:tcBorders>
              <w:left w:val="single" w:sz="6" w:space="0" w:color="auto"/>
            </w:tcBorders>
          </w:tcPr>
          <w:p w14:paraId="3296A578" w14:textId="77777777" w:rsidR="00B72890" w:rsidRPr="00193E31" w:rsidRDefault="00B72890" w:rsidP="008D4DC4">
            <w:pPr>
              <w:pStyle w:val="Level2"/>
              <w:spacing w:before="0" w:after="0"/>
              <w:rPr>
                <w:sz w:val="32"/>
                <w:szCs w:val="32"/>
              </w:rPr>
            </w:pPr>
          </w:p>
        </w:tc>
        <w:tc>
          <w:tcPr>
            <w:tcW w:w="450" w:type="dxa"/>
            <w:tcBorders>
              <w:left w:val="single" w:sz="6" w:space="0" w:color="auto"/>
            </w:tcBorders>
          </w:tcPr>
          <w:p w14:paraId="5856AE4E" w14:textId="77777777" w:rsidR="00B72890" w:rsidRPr="00193E31" w:rsidRDefault="00B72890" w:rsidP="008D4DC4">
            <w:pPr>
              <w:pStyle w:val="Level2"/>
              <w:spacing w:before="0" w:after="0"/>
              <w:rPr>
                <w:sz w:val="32"/>
                <w:szCs w:val="32"/>
              </w:rPr>
            </w:pPr>
          </w:p>
        </w:tc>
        <w:tc>
          <w:tcPr>
            <w:tcW w:w="450" w:type="dxa"/>
            <w:tcBorders>
              <w:left w:val="single" w:sz="6" w:space="0" w:color="auto"/>
            </w:tcBorders>
          </w:tcPr>
          <w:p w14:paraId="1069CBA4" w14:textId="77777777" w:rsidR="00B72890" w:rsidRPr="00193E31" w:rsidRDefault="00B72890" w:rsidP="008D4DC4">
            <w:pPr>
              <w:pStyle w:val="Level2"/>
              <w:spacing w:before="0" w:after="0"/>
              <w:rPr>
                <w:sz w:val="32"/>
                <w:szCs w:val="32"/>
              </w:rPr>
            </w:pPr>
          </w:p>
        </w:tc>
        <w:tc>
          <w:tcPr>
            <w:tcW w:w="1001" w:type="dxa"/>
            <w:tcBorders>
              <w:left w:val="single" w:sz="6" w:space="0" w:color="auto"/>
            </w:tcBorders>
          </w:tcPr>
          <w:p w14:paraId="45B61C3C" w14:textId="77777777" w:rsidR="00B72890" w:rsidRPr="00193E31" w:rsidRDefault="00B72890" w:rsidP="008D4DC4">
            <w:pPr>
              <w:pStyle w:val="Level2"/>
              <w:spacing w:before="0" w:after="0"/>
              <w:rPr>
                <w:sz w:val="32"/>
                <w:szCs w:val="32"/>
              </w:rPr>
            </w:pPr>
          </w:p>
        </w:tc>
        <w:tc>
          <w:tcPr>
            <w:tcW w:w="1001" w:type="dxa"/>
            <w:tcBorders>
              <w:left w:val="single" w:sz="6" w:space="0" w:color="auto"/>
            </w:tcBorders>
          </w:tcPr>
          <w:p w14:paraId="7665F279" w14:textId="77777777" w:rsidR="00B72890" w:rsidRPr="00193E31" w:rsidRDefault="00B72890" w:rsidP="008D4DC4">
            <w:pPr>
              <w:pStyle w:val="Level2"/>
              <w:spacing w:before="0" w:after="0"/>
              <w:rPr>
                <w:sz w:val="32"/>
                <w:szCs w:val="32"/>
              </w:rPr>
            </w:pPr>
          </w:p>
        </w:tc>
      </w:tr>
      <w:tr w:rsidR="00B72890" w:rsidRPr="00FB5173" w14:paraId="27EAD407" w14:textId="77777777">
        <w:trPr>
          <w:cantSplit/>
          <w:trHeight w:val="783"/>
        </w:trPr>
        <w:tc>
          <w:tcPr>
            <w:tcW w:w="6948" w:type="dxa"/>
          </w:tcPr>
          <w:p w14:paraId="5D3D05F7" w14:textId="77777777" w:rsidR="00B72890" w:rsidRPr="00404F05" w:rsidRDefault="001B1506">
            <w:pPr>
              <w:pStyle w:val="Level3"/>
            </w:pPr>
            <w:r w:rsidRPr="00404F05">
              <w:tab/>
              <w:t>(a)</w:t>
            </w:r>
            <w:r w:rsidRPr="00404F05">
              <w:tab/>
              <w:t>Certificate or opinion letters from lawyers, to include matters such as: corporate status, good standing, incumbency, authorization, execution, and delivery.</w:t>
            </w:r>
          </w:p>
        </w:tc>
        <w:tc>
          <w:tcPr>
            <w:tcW w:w="450" w:type="dxa"/>
            <w:tcBorders>
              <w:left w:val="single" w:sz="6" w:space="0" w:color="auto"/>
            </w:tcBorders>
          </w:tcPr>
          <w:p w14:paraId="091AC739" w14:textId="77777777" w:rsidR="00B72890" w:rsidRPr="00193E31" w:rsidRDefault="00B72890">
            <w:pPr>
              <w:pStyle w:val="Level3"/>
              <w:rPr>
                <w:sz w:val="32"/>
                <w:szCs w:val="32"/>
              </w:rPr>
            </w:pPr>
          </w:p>
        </w:tc>
        <w:tc>
          <w:tcPr>
            <w:tcW w:w="450" w:type="dxa"/>
            <w:tcBorders>
              <w:left w:val="single" w:sz="6" w:space="0" w:color="auto"/>
            </w:tcBorders>
          </w:tcPr>
          <w:p w14:paraId="63599E29" w14:textId="77777777" w:rsidR="00B72890" w:rsidRPr="00193E31" w:rsidRDefault="00B72890">
            <w:pPr>
              <w:pStyle w:val="Level3"/>
              <w:rPr>
                <w:sz w:val="32"/>
                <w:szCs w:val="32"/>
              </w:rPr>
            </w:pPr>
          </w:p>
        </w:tc>
        <w:tc>
          <w:tcPr>
            <w:tcW w:w="450" w:type="dxa"/>
            <w:tcBorders>
              <w:left w:val="single" w:sz="6" w:space="0" w:color="auto"/>
            </w:tcBorders>
          </w:tcPr>
          <w:p w14:paraId="00157D8A" w14:textId="77777777" w:rsidR="00B72890" w:rsidRPr="00193E31" w:rsidRDefault="00B72890">
            <w:pPr>
              <w:pStyle w:val="Level3"/>
              <w:rPr>
                <w:sz w:val="32"/>
                <w:szCs w:val="32"/>
              </w:rPr>
            </w:pPr>
          </w:p>
        </w:tc>
        <w:tc>
          <w:tcPr>
            <w:tcW w:w="1001" w:type="dxa"/>
            <w:tcBorders>
              <w:left w:val="single" w:sz="6" w:space="0" w:color="auto"/>
            </w:tcBorders>
          </w:tcPr>
          <w:p w14:paraId="537DC729" w14:textId="77777777" w:rsidR="00B72890" w:rsidRPr="00193E31" w:rsidRDefault="00B72890">
            <w:pPr>
              <w:pStyle w:val="Level3"/>
              <w:rPr>
                <w:sz w:val="32"/>
                <w:szCs w:val="32"/>
              </w:rPr>
            </w:pPr>
          </w:p>
        </w:tc>
        <w:tc>
          <w:tcPr>
            <w:tcW w:w="1001" w:type="dxa"/>
            <w:tcBorders>
              <w:left w:val="single" w:sz="6" w:space="0" w:color="auto"/>
            </w:tcBorders>
          </w:tcPr>
          <w:p w14:paraId="1B4E5A4C" w14:textId="77777777" w:rsidR="00B72890" w:rsidRPr="00193E31" w:rsidRDefault="00B72890">
            <w:pPr>
              <w:pStyle w:val="Level3"/>
              <w:rPr>
                <w:sz w:val="32"/>
                <w:szCs w:val="32"/>
              </w:rPr>
            </w:pPr>
          </w:p>
        </w:tc>
      </w:tr>
      <w:tr w:rsidR="00B72890" w:rsidRPr="00FB5173" w14:paraId="7AD1EC59" w14:textId="77777777">
        <w:trPr>
          <w:cantSplit/>
          <w:trHeight w:val="387"/>
        </w:trPr>
        <w:tc>
          <w:tcPr>
            <w:tcW w:w="6948" w:type="dxa"/>
          </w:tcPr>
          <w:p w14:paraId="76D4CFC8" w14:textId="77777777" w:rsidR="00B72890" w:rsidRPr="00404F05" w:rsidRDefault="001B1506">
            <w:pPr>
              <w:pStyle w:val="Level3"/>
            </w:pPr>
            <w:r w:rsidRPr="00404F05">
              <w:tab/>
              <w:t>(b)</w:t>
            </w:r>
            <w:r w:rsidRPr="00404F05">
              <w:tab/>
              <w:t>Directors’ resolution and shareholders’ resolution, if required (certified copies).</w:t>
            </w:r>
          </w:p>
        </w:tc>
        <w:tc>
          <w:tcPr>
            <w:tcW w:w="450" w:type="dxa"/>
            <w:tcBorders>
              <w:left w:val="single" w:sz="6" w:space="0" w:color="auto"/>
            </w:tcBorders>
          </w:tcPr>
          <w:p w14:paraId="5D34112F" w14:textId="77777777" w:rsidR="00B72890" w:rsidRPr="00193E31" w:rsidRDefault="00B72890">
            <w:pPr>
              <w:pStyle w:val="Level3"/>
              <w:rPr>
                <w:sz w:val="32"/>
                <w:szCs w:val="32"/>
              </w:rPr>
            </w:pPr>
          </w:p>
        </w:tc>
        <w:tc>
          <w:tcPr>
            <w:tcW w:w="450" w:type="dxa"/>
            <w:tcBorders>
              <w:left w:val="single" w:sz="6" w:space="0" w:color="auto"/>
            </w:tcBorders>
          </w:tcPr>
          <w:p w14:paraId="318416B6" w14:textId="77777777" w:rsidR="00B72890" w:rsidRPr="00193E31" w:rsidRDefault="00B72890">
            <w:pPr>
              <w:pStyle w:val="Level3"/>
              <w:rPr>
                <w:sz w:val="32"/>
                <w:szCs w:val="32"/>
              </w:rPr>
            </w:pPr>
          </w:p>
        </w:tc>
        <w:tc>
          <w:tcPr>
            <w:tcW w:w="450" w:type="dxa"/>
            <w:tcBorders>
              <w:left w:val="single" w:sz="6" w:space="0" w:color="auto"/>
            </w:tcBorders>
          </w:tcPr>
          <w:p w14:paraId="33680767" w14:textId="77777777" w:rsidR="00B72890" w:rsidRPr="00193E31" w:rsidRDefault="00B72890">
            <w:pPr>
              <w:pStyle w:val="Level3"/>
              <w:rPr>
                <w:sz w:val="32"/>
                <w:szCs w:val="32"/>
              </w:rPr>
            </w:pPr>
          </w:p>
        </w:tc>
        <w:tc>
          <w:tcPr>
            <w:tcW w:w="1001" w:type="dxa"/>
            <w:tcBorders>
              <w:left w:val="single" w:sz="6" w:space="0" w:color="auto"/>
            </w:tcBorders>
          </w:tcPr>
          <w:p w14:paraId="38F0D89B" w14:textId="77777777" w:rsidR="00B72890" w:rsidRPr="00193E31" w:rsidRDefault="00B72890">
            <w:pPr>
              <w:pStyle w:val="Level3"/>
              <w:rPr>
                <w:sz w:val="32"/>
                <w:szCs w:val="32"/>
              </w:rPr>
            </w:pPr>
          </w:p>
        </w:tc>
        <w:tc>
          <w:tcPr>
            <w:tcW w:w="1001" w:type="dxa"/>
            <w:tcBorders>
              <w:left w:val="single" w:sz="6" w:space="0" w:color="auto"/>
            </w:tcBorders>
          </w:tcPr>
          <w:p w14:paraId="0AB27227" w14:textId="77777777" w:rsidR="00B72890" w:rsidRPr="00193E31" w:rsidRDefault="00B72890">
            <w:pPr>
              <w:pStyle w:val="Level3"/>
              <w:rPr>
                <w:sz w:val="32"/>
                <w:szCs w:val="32"/>
              </w:rPr>
            </w:pPr>
          </w:p>
        </w:tc>
      </w:tr>
      <w:tr w:rsidR="00B72890" w:rsidRPr="00FB5173" w14:paraId="2CAC024A" w14:textId="77777777" w:rsidTr="00193E31">
        <w:trPr>
          <w:cantSplit/>
          <w:trHeight w:val="351"/>
        </w:trPr>
        <w:tc>
          <w:tcPr>
            <w:tcW w:w="6948" w:type="dxa"/>
          </w:tcPr>
          <w:p w14:paraId="62651CA6" w14:textId="77777777" w:rsidR="00B72890" w:rsidRPr="00404F05" w:rsidRDefault="001B1506" w:rsidP="002A4C75">
            <w:pPr>
              <w:pStyle w:val="Level2"/>
              <w:spacing w:after="0"/>
              <w:ind w:left="1166" w:hanging="1166"/>
            </w:pPr>
            <w:r w:rsidRPr="00404F05">
              <w:tab/>
              <w:t>.2</w:t>
            </w:r>
            <w:r w:rsidRPr="00404F05">
              <w:tab/>
              <w:t>Estoppel certificates.</w:t>
            </w:r>
          </w:p>
        </w:tc>
        <w:tc>
          <w:tcPr>
            <w:tcW w:w="450" w:type="dxa"/>
            <w:tcBorders>
              <w:left w:val="single" w:sz="6" w:space="0" w:color="auto"/>
            </w:tcBorders>
          </w:tcPr>
          <w:p w14:paraId="5C08F221" w14:textId="77777777" w:rsidR="00B72890" w:rsidRPr="00193E31" w:rsidRDefault="00B72890" w:rsidP="002A4C75">
            <w:pPr>
              <w:pStyle w:val="Level2"/>
              <w:spacing w:after="0"/>
              <w:ind w:left="1166" w:hanging="1166"/>
              <w:rPr>
                <w:sz w:val="32"/>
                <w:szCs w:val="32"/>
              </w:rPr>
            </w:pPr>
          </w:p>
        </w:tc>
        <w:tc>
          <w:tcPr>
            <w:tcW w:w="450" w:type="dxa"/>
            <w:tcBorders>
              <w:left w:val="single" w:sz="6" w:space="0" w:color="auto"/>
            </w:tcBorders>
          </w:tcPr>
          <w:p w14:paraId="5E3DD66B" w14:textId="77777777" w:rsidR="00B72890" w:rsidRPr="00193E31" w:rsidRDefault="00B72890" w:rsidP="002A4C75">
            <w:pPr>
              <w:pStyle w:val="Level2"/>
              <w:spacing w:after="0"/>
              <w:ind w:left="1166" w:hanging="1166"/>
              <w:rPr>
                <w:sz w:val="32"/>
                <w:szCs w:val="32"/>
              </w:rPr>
            </w:pPr>
          </w:p>
        </w:tc>
        <w:tc>
          <w:tcPr>
            <w:tcW w:w="450" w:type="dxa"/>
            <w:tcBorders>
              <w:left w:val="single" w:sz="6" w:space="0" w:color="auto"/>
            </w:tcBorders>
          </w:tcPr>
          <w:p w14:paraId="0557BF6F" w14:textId="77777777" w:rsidR="00B72890" w:rsidRPr="00193E31" w:rsidRDefault="00B72890" w:rsidP="002A4C75">
            <w:pPr>
              <w:pStyle w:val="Level2"/>
              <w:spacing w:after="0"/>
              <w:ind w:left="1166" w:hanging="1166"/>
              <w:rPr>
                <w:sz w:val="32"/>
                <w:szCs w:val="32"/>
              </w:rPr>
            </w:pPr>
          </w:p>
        </w:tc>
        <w:tc>
          <w:tcPr>
            <w:tcW w:w="1001" w:type="dxa"/>
            <w:tcBorders>
              <w:left w:val="single" w:sz="6" w:space="0" w:color="auto"/>
            </w:tcBorders>
          </w:tcPr>
          <w:p w14:paraId="1257C2C5" w14:textId="77777777" w:rsidR="00B72890" w:rsidRPr="00193E31" w:rsidRDefault="00B72890" w:rsidP="002A4C75">
            <w:pPr>
              <w:pStyle w:val="Level2"/>
              <w:spacing w:after="0"/>
              <w:ind w:left="1166" w:hanging="1166"/>
              <w:rPr>
                <w:sz w:val="32"/>
                <w:szCs w:val="32"/>
              </w:rPr>
            </w:pPr>
          </w:p>
        </w:tc>
        <w:tc>
          <w:tcPr>
            <w:tcW w:w="1001" w:type="dxa"/>
            <w:tcBorders>
              <w:left w:val="single" w:sz="6" w:space="0" w:color="auto"/>
            </w:tcBorders>
          </w:tcPr>
          <w:p w14:paraId="4BD7B0F2" w14:textId="77777777" w:rsidR="00B72890" w:rsidRPr="00193E31" w:rsidRDefault="00B72890" w:rsidP="002A4C75">
            <w:pPr>
              <w:pStyle w:val="Level2"/>
              <w:spacing w:after="0"/>
              <w:ind w:left="1166" w:hanging="1166"/>
              <w:rPr>
                <w:sz w:val="32"/>
                <w:szCs w:val="32"/>
              </w:rPr>
            </w:pPr>
          </w:p>
        </w:tc>
      </w:tr>
      <w:tr w:rsidR="00B72890" w:rsidRPr="00FB5173" w14:paraId="096D8402" w14:textId="77777777">
        <w:trPr>
          <w:cantSplit/>
          <w:trHeight w:val="531"/>
        </w:trPr>
        <w:tc>
          <w:tcPr>
            <w:tcW w:w="6948" w:type="dxa"/>
          </w:tcPr>
          <w:p w14:paraId="5DE0AA92" w14:textId="77777777" w:rsidR="00B72890" w:rsidRPr="00404F05" w:rsidRDefault="001B1506">
            <w:pPr>
              <w:pStyle w:val="Level2"/>
            </w:pPr>
            <w:r w:rsidRPr="00404F05">
              <w:tab/>
              <w:t>.3</w:t>
            </w:r>
            <w:r w:rsidRPr="00404F05">
              <w:tab/>
              <w:t>Non-disturbance agreement, if you are acting for the tenant</w:t>
            </w:r>
            <w:bookmarkStart w:id="1" w:name="_DV_C18"/>
            <w:r w:rsidRPr="00404F05">
              <w:t>, and an attornment agreement, if required by the lender</w:t>
            </w:r>
            <w:bookmarkEnd w:id="1"/>
            <w:r w:rsidRPr="00404F05">
              <w:t>.</w:t>
            </w:r>
          </w:p>
        </w:tc>
        <w:tc>
          <w:tcPr>
            <w:tcW w:w="450" w:type="dxa"/>
            <w:tcBorders>
              <w:left w:val="single" w:sz="6" w:space="0" w:color="auto"/>
            </w:tcBorders>
          </w:tcPr>
          <w:p w14:paraId="0EFC8D24" w14:textId="77777777" w:rsidR="00B72890" w:rsidRPr="00193E31" w:rsidRDefault="00B72890">
            <w:pPr>
              <w:pStyle w:val="Level2"/>
              <w:rPr>
                <w:sz w:val="32"/>
                <w:szCs w:val="32"/>
              </w:rPr>
            </w:pPr>
          </w:p>
        </w:tc>
        <w:tc>
          <w:tcPr>
            <w:tcW w:w="450" w:type="dxa"/>
            <w:tcBorders>
              <w:left w:val="single" w:sz="6" w:space="0" w:color="auto"/>
            </w:tcBorders>
          </w:tcPr>
          <w:p w14:paraId="09BF595A" w14:textId="77777777" w:rsidR="00B72890" w:rsidRPr="00193E31" w:rsidRDefault="00B72890">
            <w:pPr>
              <w:pStyle w:val="Level2"/>
              <w:rPr>
                <w:sz w:val="32"/>
                <w:szCs w:val="32"/>
              </w:rPr>
            </w:pPr>
          </w:p>
        </w:tc>
        <w:tc>
          <w:tcPr>
            <w:tcW w:w="450" w:type="dxa"/>
            <w:tcBorders>
              <w:left w:val="single" w:sz="6" w:space="0" w:color="auto"/>
            </w:tcBorders>
          </w:tcPr>
          <w:p w14:paraId="0CD378D0" w14:textId="77777777" w:rsidR="00B72890" w:rsidRPr="00193E31" w:rsidRDefault="00B72890">
            <w:pPr>
              <w:pStyle w:val="Level2"/>
              <w:rPr>
                <w:sz w:val="32"/>
                <w:szCs w:val="32"/>
              </w:rPr>
            </w:pPr>
          </w:p>
        </w:tc>
        <w:tc>
          <w:tcPr>
            <w:tcW w:w="1001" w:type="dxa"/>
            <w:tcBorders>
              <w:left w:val="single" w:sz="6" w:space="0" w:color="auto"/>
            </w:tcBorders>
          </w:tcPr>
          <w:p w14:paraId="27CE6FFF" w14:textId="77777777" w:rsidR="00B72890" w:rsidRPr="00193E31" w:rsidRDefault="00B72890">
            <w:pPr>
              <w:pStyle w:val="Level2"/>
              <w:rPr>
                <w:sz w:val="32"/>
                <w:szCs w:val="32"/>
              </w:rPr>
            </w:pPr>
          </w:p>
        </w:tc>
        <w:tc>
          <w:tcPr>
            <w:tcW w:w="1001" w:type="dxa"/>
            <w:tcBorders>
              <w:left w:val="single" w:sz="6" w:space="0" w:color="auto"/>
            </w:tcBorders>
          </w:tcPr>
          <w:p w14:paraId="35AB5876" w14:textId="77777777" w:rsidR="00B72890" w:rsidRPr="00193E31" w:rsidRDefault="00B72890">
            <w:pPr>
              <w:pStyle w:val="Level2"/>
              <w:rPr>
                <w:sz w:val="32"/>
                <w:szCs w:val="32"/>
              </w:rPr>
            </w:pPr>
          </w:p>
        </w:tc>
      </w:tr>
      <w:tr w:rsidR="00B72890" w:rsidRPr="00FB5173" w14:paraId="28DB0F9D" w14:textId="77777777">
        <w:trPr>
          <w:cantSplit/>
          <w:trHeight w:val="342"/>
        </w:trPr>
        <w:tc>
          <w:tcPr>
            <w:tcW w:w="6948" w:type="dxa"/>
          </w:tcPr>
          <w:p w14:paraId="496DEBBC" w14:textId="77777777" w:rsidR="00B72890" w:rsidRPr="00404F05" w:rsidRDefault="001B1506" w:rsidP="00193E31">
            <w:pPr>
              <w:pStyle w:val="Level2"/>
              <w:spacing w:after="0"/>
              <w:ind w:left="1166" w:hanging="1166"/>
            </w:pPr>
            <w:r w:rsidRPr="00404F05">
              <w:tab/>
              <w:t>.4</w:t>
            </w:r>
            <w:r w:rsidRPr="00404F05">
              <w:tab/>
              <w:t>Subordination agreements.</w:t>
            </w:r>
          </w:p>
        </w:tc>
        <w:tc>
          <w:tcPr>
            <w:tcW w:w="450" w:type="dxa"/>
            <w:tcBorders>
              <w:left w:val="single" w:sz="6" w:space="0" w:color="auto"/>
            </w:tcBorders>
          </w:tcPr>
          <w:p w14:paraId="18F96F2E"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342AF00F"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6E4839B3"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63DA8874"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51B1B0DE" w14:textId="77777777" w:rsidR="00B72890" w:rsidRPr="00193E31" w:rsidRDefault="00B72890" w:rsidP="00193E31">
            <w:pPr>
              <w:pStyle w:val="Level2"/>
              <w:spacing w:after="0"/>
              <w:ind w:left="1166" w:hanging="1166"/>
              <w:rPr>
                <w:sz w:val="32"/>
                <w:szCs w:val="32"/>
              </w:rPr>
            </w:pPr>
          </w:p>
        </w:tc>
      </w:tr>
      <w:tr w:rsidR="00B72890" w:rsidRPr="00FB5173" w14:paraId="76CC1281" w14:textId="77777777">
        <w:trPr>
          <w:cantSplit/>
          <w:trHeight w:val="333"/>
        </w:trPr>
        <w:tc>
          <w:tcPr>
            <w:tcW w:w="6948" w:type="dxa"/>
          </w:tcPr>
          <w:p w14:paraId="76F2C124" w14:textId="77777777" w:rsidR="00B72890" w:rsidRPr="00404F05" w:rsidRDefault="001B1506" w:rsidP="00193E31">
            <w:pPr>
              <w:pStyle w:val="Level2"/>
              <w:spacing w:after="0"/>
              <w:ind w:left="1166" w:hanging="1166"/>
            </w:pPr>
            <w:r w:rsidRPr="00404F05">
              <w:tab/>
              <w:t>.5</w:t>
            </w:r>
            <w:r w:rsidRPr="00404F05">
              <w:tab/>
              <w:t>Insurance policy or certificate of insurance.</w:t>
            </w:r>
          </w:p>
        </w:tc>
        <w:tc>
          <w:tcPr>
            <w:tcW w:w="450" w:type="dxa"/>
            <w:tcBorders>
              <w:left w:val="single" w:sz="6" w:space="0" w:color="auto"/>
            </w:tcBorders>
          </w:tcPr>
          <w:p w14:paraId="59E86A61"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4445DF15"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478C0C49"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62C01652"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7E2544C4" w14:textId="77777777" w:rsidR="00B72890" w:rsidRPr="00193E31" w:rsidRDefault="00B72890" w:rsidP="00193E31">
            <w:pPr>
              <w:pStyle w:val="Level2"/>
              <w:spacing w:after="0"/>
              <w:ind w:left="1166" w:hanging="1166"/>
              <w:rPr>
                <w:sz w:val="32"/>
                <w:szCs w:val="32"/>
              </w:rPr>
            </w:pPr>
          </w:p>
        </w:tc>
      </w:tr>
      <w:tr w:rsidR="00B72890" w:rsidRPr="00FB5173" w14:paraId="2D69C4FF" w14:textId="77777777" w:rsidTr="008D4DC4">
        <w:trPr>
          <w:cantSplit/>
          <w:trHeight w:val="459"/>
        </w:trPr>
        <w:tc>
          <w:tcPr>
            <w:tcW w:w="6948" w:type="dxa"/>
          </w:tcPr>
          <w:p w14:paraId="0DEED015" w14:textId="77777777" w:rsidR="00B72890" w:rsidRPr="00404F05" w:rsidRDefault="001B1506" w:rsidP="00193E31">
            <w:pPr>
              <w:pStyle w:val="Level2"/>
              <w:spacing w:after="0"/>
              <w:ind w:left="1166" w:hanging="1166"/>
            </w:pPr>
            <w:r w:rsidRPr="00404F05">
              <w:tab/>
              <w:t>.6</w:t>
            </w:r>
            <w:r w:rsidRPr="00404F05">
              <w:tab/>
              <w:t>Surveyed plan, if the lease includes a portion of building.</w:t>
            </w:r>
          </w:p>
        </w:tc>
        <w:tc>
          <w:tcPr>
            <w:tcW w:w="450" w:type="dxa"/>
            <w:tcBorders>
              <w:left w:val="single" w:sz="6" w:space="0" w:color="auto"/>
            </w:tcBorders>
          </w:tcPr>
          <w:p w14:paraId="1DB17ACA"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3CC063F6"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3BC7A045"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745C50FA"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149B85D4" w14:textId="77777777" w:rsidR="00B72890" w:rsidRPr="00193E31" w:rsidRDefault="00B72890" w:rsidP="00193E31">
            <w:pPr>
              <w:pStyle w:val="Level2"/>
              <w:spacing w:after="0"/>
              <w:ind w:left="1166" w:hanging="1166"/>
              <w:rPr>
                <w:sz w:val="32"/>
                <w:szCs w:val="32"/>
              </w:rPr>
            </w:pPr>
          </w:p>
        </w:tc>
      </w:tr>
      <w:tr w:rsidR="00B72890" w:rsidRPr="00FB5173" w14:paraId="0E24CF1A" w14:textId="77777777">
        <w:trPr>
          <w:cantSplit/>
        </w:trPr>
        <w:tc>
          <w:tcPr>
            <w:tcW w:w="6948" w:type="dxa"/>
          </w:tcPr>
          <w:p w14:paraId="4DB74034" w14:textId="77777777" w:rsidR="00B72890" w:rsidRPr="00404F05" w:rsidRDefault="001B1506" w:rsidP="00193E31">
            <w:pPr>
              <w:pStyle w:val="Level2"/>
              <w:spacing w:after="0"/>
              <w:ind w:left="1166" w:hanging="1166"/>
            </w:pPr>
            <w:r w:rsidRPr="00404F05">
              <w:lastRenderedPageBreak/>
              <w:tab/>
              <w:t>.7</w:t>
            </w:r>
            <w:r w:rsidRPr="00404F05">
              <w:tab/>
              <w:t xml:space="preserve">Notice of interest under the </w:t>
            </w:r>
            <w:r w:rsidRPr="00404F05">
              <w:rPr>
                <w:rStyle w:val="Italics"/>
                <w:rFonts w:ascii="Times New Roman" w:hAnsi="Times New Roman"/>
              </w:rPr>
              <w:t>Builders Lien Act</w:t>
            </w:r>
            <w:r w:rsidRPr="00404F05">
              <w:t xml:space="preserve">, S.B.C. 1997, c. 45, if you are acting for the landlord and the tenant plans to carry out any improvements to the premises (see </w:t>
            </w:r>
            <w:r w:rsidRPr="00404F05">
              <w:rPr>
                <w:rStyle w:val="Italics"/>
                <w:rFonts w:ascii="Times New Roman" w:hAnsi="Times New Roman"/>
              </w:rPr>
              <w:t>Builders Lien Act</w:t>
            </w:r>
            <w:r w:rsidRPr="00404F05">
              <w:t>, s. 3).</w:t>
            </w:r>
          </w:p>
        </w:tc>
        <w:tc>
          <w:tcPr>
            <w:tcW w:w="450" w:type="dxa"/>
            <w:tcBorders>
              <w:left w:val="single" w:sz="6" w:space="0" w:color="auto"/>
            </w:tcBorders>
          </w:tcPr>
          <w:p w14:paraId="0A26F55E"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139FCEE6"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74D1066C"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11F05845"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4C770C6F" w14:textId="77777777" w:rsidR="00B72890" w:rsidRPr="00193E31" w:rsidRDefault="00B72890" w:rsidP="00193E31">
            <w:pPr>
              <w:pStyle w:val="Level2"/>
              <w:spacing w:after="0"/>
              <w:ind w:left="1166" w:hanging="1166"/>
              <w:rPr>
                <w:sz w:val="32"/>
                <w:szCs w:val="32"/>
              </w:rPr>
            </w:pPr>
          </w:p>
        </w:tc>
      </w:tr>
      <w:tr w:rsidR="00B72890" w:rsidRPr="00FB5173" w14:paraId="12CEF6F1" w14:textId="77777777">
        <w:trPr>
          <w:cantSplit/>
          <w:trHeight w:val="245"/>
        </w:trPr>
        <w:tc>
          <w:tcPr>
            <w:tcW w:w="6948" w:type="dxa"/>
          </w:tcPr>
          <w:p w14:paraId="3529C494" w14:textId="77777777" w:rsidR="00B72890" w:rsidRPr="00404F05" w:rsidRDefault="001B1506" w:rsidP="00193E31">
            <w:pPr>
              <w:pStyle w:val="Level2"/>
              <w:spacing w:after="0"/>
              <w:ind w:left="1166" w:hanging="1166"/>
            </w:pPr>
            <w:r w:rsidRPr="00404F05">
              <w:tab/>
              <w:t>.8</w:t>
            </w:r>
            <w:r w:rsidRPr="00404F05">
              <w:tab/>
              <w:t>Copies of current bylaws and rules, if the premises are a strata lot.</w:t>
            </w:r>
          </w:p>
        </w:tc>
        <w:tc>
          <w:tcPr>
            <w:tcW w:w="450" w:type="dxa"/>
            <w:tcBorders>
              <w:left w:val="single" w:sz="6" w:space="0" w:color="auto"/>
            </w:tcBorders>
          </w:tcPr>
          <w:p w14:paraId="1E673B15"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79525BE2"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679BE356"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626D4C5B"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16173167" w14:textId="77777777" w:rsidR="00B72890" w:rsidRPr="00193E31" w:rsidRDefault="00B72890" w:rsidP="00193E31">
            <w:pPr>
              <w:pStyle w:val="Level2"/>
              <w:spacing w:after="0"/>
              <w:ind w:left="1166" w:hanging="1166"/>
              <w:rPr>
                <w:sz w:val="32"/>
                <w:szCs w:val="32"/>
              </w:rPr>
            </w:pPr>
          </w:p>
        </w:tc>
      </w:tr>
      <w:tr w:rsidR="00B72890" w:rsidRPr="00FB5173" w14:paraId="703304F6" w14:textId="77777777">
        <w:trPr>
          <w:cantSplit/>
          <w:trHeight w:val="891"/>
        </w:trPr>
        <w:tc>
          <w:tcPr>
            <w:tcW w:w="6948" w:type="dxa"/>
          </w:tcPr>
          <w:p w14:paraId="28E429B5" w14:textId="77777777" w:rsidR="00B72890" w:rsidRPr="00404F05" w:rsidRDefault="001B1506">
            <w:pPr>
              <w:pStyle w:val="Level2"/>
            </w:pPr>
            <w:r w:rsidRPr="00404F05">
              <w:tab/>
              <w:t>.9</w:t>
            </w:r>
            <w:r w:rsidRPr="00404F05">
              <w:tab/>
              <w:t>Tenant fixturing loan agreement, where the landlord takes a security interest in fixtures on the premises. This is especially desirable if the landlord has provided any incentives or allowances for fixturing. Ensure that registrations in the LTO and Personal Property Registry are made, and that no purchase money security interest (“PMSI”) is claimed by another lender or lessor of goods.</w:t>
            </w:r>
          </w:p>
        </w:tc>
        <w:tc>
          <w:tcPr>
            <w:tcW w:w="450" w:type="dxa"/>
            <w:tcBorders>
              <w:left w:val="single" w:sz="6" w:space="0" w:color="auto"/>
            </w:tcBorders>
          </w:tcPr>
          <w:p w14:paraId="5420DA65" w14:textId="77777777" w:rsidR="00B72890" w:rsidRPr="00193E31" w:rsidRDefault="00B72890">
            <w:pPr>
              <w:pStyle w:val="Level2"/>
              <w:rPr>
                <w:sz w:val="32"/>
                <w:szCs w:val="32"/>
              </w:rPr>
            </w:pPr>
          </w:p>
        </w:tc>
        <w:tc>
          <w:tcPr>
            <w:tcW w:w="450" w:type="dxa"/>
            <w:tcBorders>
              <w:left w:val="single" w:sz="6" w:space="0" w:color="auto"/>
            </w:tcBorders>
          </w:tcPr>
          <w:p w14:paraId="0B674623" w14:textId="77777777" w:rsidR="00B72890" w:rsidRPr="00193E31" w:rsidRDefault="00B72890">
            <w:pPr>
              <w:pStyle w:val="Level2"/>
              <w:rPr>
                <w:sz w:val="32"/>
                <w:szCs w:val="32"/>
              </w:rPr>
            </w:pPr>
          </w:p>
        </w:tc>
        <w:tc>
          <w:tcPr>
            <w:tcW w:w="450" w:type="dxa"/>
            <w:tcBorders>
              <w:left w:val="single" w:sz="6" w:space="0" w:color="auto"/>
            </w:tcBorders>
          </w:tcPr>
          <w:p w14:paraId="13FA6058" w14:textId="77777777" w:rsidR="00B72890" w:rsidRPr="00193E31" w:rsidRDefault="00B72890">
            <w:pPr>
              <w:pStyle w:val="Level2"/>
              <w:rPr>
                <w:sz w:val="32"/>
                <w:szCs w:val="32"/>
              </w:rPr>
            </w:pPr>
          </w:p>
        </w:tc>
        <w:tc>
          <w:tcPr>
            <w:tcW w:w="1001" w:type="dxa"/>
            <w:tcBorders>
              <w:left w:val="single" w:sz="6" w:space="0" w:color="auto"/>
            </w:tcBorders>
          </w:tcPr>
          <w:p w14:paraId="074EC938" w14:textId="77777777" w:rsidR="00B72890" w:rsidRPr="00193E31" w:rsidRDefault="00B72890">
            <w:pPr>
              <w:pStyle w:val="Level2"/>
              <w:rPr>
                <w:sz w:val="32"/>
                <w:szCs w:val="32"/>
              </w:rPr>
            </w:pPr>
          </w:p>
        </w:tc>
        <w:tc>
          <w:tcPr>
            <w:tcW w:w="1001" w:type="dxa"/>
            <w:tcBorders>
              <w:left w:val="single" w:sz="6" w:space="0" w:color="auto"/>
            </w:tcBorders>
          </w:tcPr>
          <w:p w14:paraId="748A1420" w14:textId="77777777" w:rsidR="00B72890" w:rsidRPr="00193E31" w:rsidRDefault="00B72890">
            <w:pPr>
              <w:pStyle w:val="Level2"/>
              <w:rPr>
                <w:sz w:val="32"/>
                <w:szCs w:val="32"/>
              </w:rPr>
            </w:pPr>
          </w:p>
        </w:tc>
      </w:tr>
      <w:tr w:rsidR="00B72890" w:rsidRPr="00FB5173" w14:paraId="6F528E87" w14:textId="77777777">
        <w:trPr>
          <w:cantSplit/>
          <w:trHeight w:val="810"/>
        </w:trPr>
        <w:tc>
          <w:tcPr>
            <w:tcW w:w="6948" w:type="dxa"/>
          </w:tcPr>
          <w:p w14:paraId="70523C96" w14:textId="77777777" w:rsidR="00B72890" w:rsidRPr="00404F05" w:rsidRDefault="001B1506">
            <w:pPr>
              <w:pStyle w:val="Level2"/>
            </w:pPr>
            <w:r w:rsidRPr="00404F05">
              <w:tab/>
              <w:t>.10</w:t>
            </w:r>
            <w:r w:rsidRPr="00404F05">
              <w:tab/>
              <w:t>Priority agreements from any creditors of the tenant who have taken a security interest in the tenant’s fixtures, where the landlord takes a security interest in fixtures on the premises.</w:t>
            </w:r>
          </w:p>
        </w:tc>
        <w:tc>
          <w:tcPr>
            <w:tcW w:w="450" w:type="dxa"/>
            <w:tcBorders>
              <w:left w:val="single" w:sz="6" w:space="0" w:color="auto"/>
            </w:tcBorders>
          </w:tcPr>
          <w:p w14:paraId="1DEB4400" w14:textId="77777777" w:rsidR="00B72890" w:rsidRPr="00193E31" w:rsidRDefault="00B72890">
            <w:pPr>
              <w:pStyle w:val="Level2"/>
              <w:rPr>
                <w:sz w:val="32"/>
                <w:szCs w:val="32"/>
              </w:rPr>
            </w:pPr>
          </w:p>
        </w:tc>
        <w:tc>
          <w:tcPr>
            <w:tcW w:w="450" w:type="dxa"/>
            <w:tcBorders>
              <w:left w:val="single" w:sz="6" w:space="0" w:color="auto"/>
            </w:tcBorders>
          </w:tcPr>
          <w:p w14:paraId="659C7111" w14:textId="77777777" w:rsidR="00B72890" w:rsidRPr="00193E31" w:rsidRDefault="00B72890">
            <w:pPr>
              <w:pStyle w:val="Level2"/>
              <w:rPr>
                <w:sz w:val="32"/>
                <w:szCs w:val="32"/>
              </w:rPr>
            </w:pPr>
          </w:p>
        </w:tc>
        <w:tc>
          <w:tcPr>
            <w:tcW w:w="450" w:type="dxa"/>
            <w:tcBorders>
              <w:left w:val="single" w:sz="6" w:space="0" w:color="auto"/>
            </w:tcBorders>
          </w:tcPr>
          <w:p w14:paraId="3DAA7470" w14:textId="77777777" w:rsidR="00B72890" w:rsidRPr="00193E31" w:rsidRDefault="00B72890">
            <w:pPr>
              <w:pStyle w:val="Level2"/>
              <w:rPr>
                <w:sz w:val="32"/>
                <w:szCs w:val="32"/>
              </w:rPr>
            </w:pPr>
          </w:p>
        </w:tc>
        <w:tc>
          <w:tcPr>
            <w:tcW w:w="1001" w:type="dxa"/>
            <w:tcBorders>
              <w:left w:val="single" w:sz="6" w:space="0" w:color="auto"/>
            </w:tcBorders>
          </w:tcPr>
          <w:p w14:paraId="4F41CFAB" w14:textId="77777777" w:rsidR="00B72890" w:rsidRPr="00193E31" w:rsidRDefault="00B72890">
            <w:pPr>
              <w:pStyle w:val="Level2"/>
              <w:rPr>
                <w:sz w:val="32"/>
                <w:szCs w:val="32"/>
              </w:rPr>
            </w:pPr>
          </w:p>
        </w:tc>
        <w:tc>
          <w:tcPr>
            <w:tcW w:w="1001" w:type="dxa"/>
            <w:tcBorders>
              <w:left w:val="single" w:sz="6" w:space="0" w:color="auto"/>
            </w:tcBorders>
          </w:tcPr>
          <w:p w14:paraId="2AC8AAF0" w14:textId="77777777" w:rsidR="00B72890" w:rsidRPr="00193E31" w:rsidRDefault="00B72890">
            <w:pPr>
              <w:pStyle w:val="Level2"/>
              <w:rPr>
                <w:sz w:val="32"/>
                <w:szCs w:val="32"/>
              </w:rPr>
            </w:pPr>
          </w:p>
        </w:tc>
      </w:tr>
      <w:tr w:rsidR="00B72890" w:rsidRPr="00FB5173" w14:paraId="12B56469" w14:textId="77777777">
        <w:trPr>
          <w:cantSplit/>
          <w:trHeight w:val="1530"/>
        </w:trPr>
        <w:tc>
          <w:tcPr>
            <w:tcW w:w="6948" w:type="dxa"/>
          </w:tcPr>
          <w:p w14:paraId="4D32CCF9" w14:textId="77777777" w:rsidR="00B72890" w:rsidRPr="00404F05" w:rsidRDefault="001B1506">
            <w:pPr>
              <w:pStyle w:val="Level2"/>
            </w:pPr>
            <w:r w:rsidRPr="00404F05">
              <w:tab/>
              <w:t>.11</w:t>
            </w:r>
            <w:r w:rsidRPr="00404F05">
              <w:tab/>
              <w:t xml:space="preserve">Guarantee or indemnity agreement in respect of tenant’s obligations under lease, including payment of rent. For detailed information about guarantees and indemnities in commercial leasing, including a ‎precedent indemnity agreement, see chapter 19 (Guarantees and Indemnities in Commercial Leases) in </w:t>
            </w:r>
            <w:r w:rsidRPr="00404F05">
              <w:rPr>
                <w:rStyle w:val="Italics"/>
                <w:rFonts w:ascii="Times New Roman" w:hAnsi="Times New Roman"/>
              </w:rPr>
              <w:t xml:space="preserve">Commercial Leasing: Annotated Precedents </w:t>
            </w:r>
            <w:r w:rsidRPr="00404F05">
              <w:rPr>
                <w:rStyle w:val="Italics"/>
                <w:rFonts w:ascii="Times New Roman" w:hAnsi="Times New Roman"/>
                <w:i w:val="0"/>
                <w:iCs/>
              </w:rPr>
              <w:t>(CLEBC, 1996–)</w:t>
            </w:r>
            <w:r w:rsidRPr="00404F05">
              <w:t>.</w:t>
            </w:r>
          </w:p>
        </w:tc>
        <w:tc>
          <w:tcPr>
            <w:tcW w:w="450" w:type="dxa"/>
            <w:tcBorders>
              <w:left w:val="single" w:sz="6" w:space="0" w:color="auto"/>
            </w:tcBorders>
          </w:tcPr>
          <w:p w14:paraId="30EE5715" w14:textId="77777777" w:rsidR="00B72890" w:rsidRPr="002A4C75" w:rsidRDefault="00B72890">
            <w:pPr>
              <w:pStyle w:val="Level2"/>
              <w:rPr>
                <w:sz w:val="32"/>
                <w:szCs w:val="32"/>
              </w:rPr>
            </w:pPr>
          </w:p>
        </w:tc>
        <w:tc>
          <w:tcPr>
            <w:tcW w:w="450" w:type="dxa"/>
            <w:tcBorders>
              <w:left w:val="single" w:sz="6" w:space="0" w:color="auto"/>
            </w:tcBorders>
          </w:tcPr>
          <w:p w14:paraId="428F8650" w14:textId="77777777" w:rsidR="00B72890" w:rsidRPr="002A4C75" w:rsidRDefault="00B72890">
            <w:pPr>
              <w:pStyle w:val="Level2"/>
              <w:rPr>
                <w:sz w:val="32"/>
                <w:szCs w:val="32"/>
              </w:rPr>
            </w:pPr>
          </w:p>
        </w:tc>
        <w:tc>
          <w:tcPr>
            <w:tcW w:w="450" w:type="dxa"/>
            <w:tcBorders>
              <w:left w:val="single" w:sz="6" w:space="0" w:color="auto"/>
            </w:tcBorders>
          </w:tcPr>
          <w:p w14:paraId="1720820F" w14:textId="77777777" w:rsidR="00B72890" w:rsidRPr="002A4C75" w:rsidRDefault="00B72890">
            <w:pPr>
              <w:pStyle w:val="Level2"/>
              <w:rPr>
                <w:sz w:val="32"/>
                <w:szCs w:val="32"/>
              </w:rPr>
            </w:pPr>
          </w:p>
        </w:tc>
        <w:tc>
          <w:tcPr>
            <w:tcW w:w="1001" w:type="dxa"/>
            <w:tcBorders>
              <w:left w:val="single" w:sz="6" w:space="0" w:color="auto"/>
            </w:tcBorders>
          </w:tcPr>
          <w:p w14:paraId="552A2881" w14:textId="77777777" w:rsidR="00B72890" w:rsidRPr="002A4C75" w:rsidRDefault="00B72890">
            <w:pPr>
              <w:pStyle w:val="Level2"/>
              <w:rPr>
                <w:sz w:val="32"/>
                <w:szCs w:val="32"/>
              </w:rPr>
            </w:pPr>
          </w:p>
        </w:tc>
        <w:tc>
          <w:tcPr>
            <w:tcW w:w="1001" w:type="dxa"/>
            <w:tcBorders>
              <w:left w:val="single" w:sz="6" w:space="0" w:color="auto"/>
            </w:tcBorders>
          </w:tcPr>
          <w:p w14:paraId="4D60B966" w14:textId="77777777" w:rsidR="00B72890" w:rsidRPr="002A4C75" w:rsidRDefault="00B72890">
            <w:pPr>
              <w:pStyle w:val="Level2"/>
              <w:rPr>
                <w:sz w:val="32"/>
                <w:szCs w:val="32"/>
              </w:rPr>
            </w:pPr>
          </w:p>
        </w:tc>
      </w:tr>
      <w:tr w:rsidR="00B72890" w:rsidRPr="00FB5173" w14:paraId="6FA9DC59" w14:textId="77777777" w:rsidTr="002A4C75">
        <w:trPr>
          <w:cantSplit/>
          <w:trHeight w:val="351"/>
        </w:trPr>
        <w:tc>
          <w:tcPr>
            <w:tcW w:w="6948" w:type="dxa"/>
          </w:tcPr>
          <w:p w14:paraId="53D9C844" w14:textId="77777777" w:rsidR="00B72890" w:rsidRPr="00404F05" w:rsidRDefault="001B1506" w:rsidP="008D4DC4">
            <w:pPr>
              <w:pStyle w:val="Level2"/>
              <w:spacing w:before="0" w:after="0"/>
              <w:ind w:left="1166" w:hanging="1166"/>
            </w:pPr>
            <w:r w:rsidRPr="00404F05">
              <w:tab/>
              <w:t>.12</w:t>
            </w:r>
            <w:r w:rsidRPr="00404F05">
              <w:tab/>
              <w:t>Property transfer tax return, if the lease is to be registered in the LTO.</w:t>
            </w:r>
          </w:p>
        </w:tc>
        <w:tc>
          <w:tcPr>
            <w:tcW w:w="450" w:type="dxa"/>
            <w:tcBorders>
              <w:left w:val="single" w:sz="6" w:space="0" w:color="auto"/>
            </w:tcBorders>
          </w:tcPr>
          <w:p w14:paraId="64E4B46A"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34EA2CF0"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16CAB248"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79262562"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47750767" w14:textId="77777777" w:rsidR="00B72890" w:rsidRPr="002A4C75" w:rsidRDefault="00B72890" w:rsidP="008D4DC4">
            <w:pPr>
              <w:pStyle w:val="Level2"/>
              <w:spacing w:before="0" w:after="0"/>
              <w:ind w:left="1166" w:hanging="1166"/>
              <w:rPr>
                <w:sz w:val="32"/>
                <w:szCs w:val="32"/>
              </w:rPr>
            </w:pPr>
          </w:p>
        </w:tc>
      </w:tr>
      <w:tr w:rsidR="00B72890" w:rsidRPr="00FB5173" w14:paraId="59C86E54" w14:textId="77777777">
        <w:trPr>
          <w:cantSplit/>
        </w:trPr>
        <w:tc>
          <w:tcPr>
            <w:tcW w:w="6948" w:type="dxa"/>
          </w:tcPr>
          <w:p w14:paraId="62772BAE" w14:textId="77777777" w:rsidR="00B72890" w:rsidRPr="00404F05" w:rsidRDefault="001B1506" w:rsidP="008D4DC4">
            <w:pPr>
              <w:pStyle w:val="Level2"/>
              <w:spacing w:before="0" w:after="0"/>
              <w:ind w:left="1166" w:hanging="1166"/>
            </w:pPr>
            <w:r w:rsidRPr="00404F05">
              <w:tab/>
              <w:t>.13</w:t>
            </w:r>
            <w:r w:rsidRPr="00404F05">
              <w:tab/>
              <w:t xml:space="preserve">Transparency declaration and transparency report under </w:t>
            </w:r>
            <w:r w:rsidRPr="00404F05">
              <w:rPr>
                <w:i/>
              </w:rPr>
              <w:t>LOTA</w:t>
            </w:r>
            <w:r w:rsidRPr="00404F05">
              <w:t>, if applicable.</w:t>
            </w:r>
          </w:p>
        </w:tc>
        <w:tc>
          <w:tcPr>
            <w:tcW w:w="450" w:type="dxa"/>
            <w:tcBorders>
              <w:left w:val="single" w:sz="6" w:space="0" w:color="auto"/>
            </w:tcBorders>
          </w:tcPr>
          <w:p w14:paraId="10D39B0A"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20EF8688"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2008D637"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0E0EC869"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682B221C" w14:textId="77777777" w:rsidR="00B72890" w:rsidRPr="002A4C75" w:rsidRDefault="00B72890" w:rsidP="008D4DC4">
            <w:pPr>
              <w:pStyle w:val="Level2"/>
              <w:spacing w:before="0" w:after="0"/>
              <w:ind w:left="1166" w:hanging="1166"/>
              <w:rPr>
                <w:sz w:val="32"/>
                <w:szCs w:val="32"/>
              </w:rPr>
            </w:pPr>
          </w:p>
        </w:tc>
      </w:tr>
      <w:tr w:rsidR="00B72890" w:rsidRPr="00FB5173" w14:paraId="172A52FD" w14:textId="77777777">
        <w:trPr>
          <w:cantSplit/>
        </w:trPr>
        <w:tc>
          <w:tcPr>
            <w:tcW w:w="6948" w:type="dxa"/>
          </w:tcPr>
          <w:p w14:paraId="793D6467" w14:textId="77777777" w:rsidR="00B72890" w:rsidRPr="00404F05" w:rsidRDefault="001B1506">
            <w:pPr>
              <w:pStyle w:val="NumberedheadingGH"/>
              <w:jc w:val="both"/>
            </w:pPr>
            <w:r w:rsidRPr="00404F05">
              <w:t>4.</w:t>
            </w:r>
            <w:r w:rsidRPr="00404F05">
              <w:tab/>
              <w:t>OFFER OR AGREEMENT TO LEASE</w:t>
            </w:r>
          </w:p>
        </w:tc>
        <w:tc>
          <w:tcPr>
            <w:tcW w:w="450" w:type="dxa"/>
            <w:tcBorders>
              <w:left w:val="single" w:sz="6" w:space="0" w:color="auto"/>
            </w:tcBorders>
          </w:tcPr>
          <w:p w14:paraId="4341C618"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4D59582A"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77982E1A"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242D9C66"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04D5BFC3" w14:textId="77777777" w:rsidR="00B72890" w:rsidRPr="002A4C75" w:rsidRDefault="00B72890">
            <w:pPr>
              <w:pStyle w:val="unformattedtext"/>
              <w:spacing w:before="60"/>
              <w:rPr>
                <w:sz w:val="32"/>
                <w:szCs w:val="32"/>
              </w:rPr>
            </w:pPr>
          </w:p>
        </w:tc>
      </w:tr>
      <w:tr w:rsidR="00B72890" w:rsidRPr="00FB5173" w14:paraId="4E65A727" w14:textId="77777777" w:rsidTr="00FC08D5">
        <w:trPr>
          <w:cantSplit/>
          <w:trHeight w:val="396"/>
        </w:trPr>
        <w:tc>
          <w:tcPr>
            <w:tcW w:w="6948" w:type="dxa"/>
          </w:tcPr>
          <w:p w14:paraId="4DBE81C3" w14:textId="77777777" w:rsidR="00B72890" w:rsidRPr="00404F05" w:rsidRDefault="001B1506">
            <w:pPr>
              <w:pStyle w:val="Level111G1"/>
            </w:pPr>
            <w:r w:rsidRPr="00404F05">
              <w:tab/>
              <w:t>4.1</w:t>
            </w:r>
            <w:r w:rsidRPr="00404F05">
              <w:tab/>
              <w:t>If so instructed, draft an offer or agreement to lease, including:</w:t>
            </w:r>
          </w:p>
        </w:tc>
        <w:tc>
          <w:tcPr>
            <w:tcW w:w="450" w:type="dxa"/>
            <w:tcBorders>
              <w:left w:val="single" w:sz="6" w:space="0" w:color="auto"/>
            </w:tcBorders>
          </w:tcPr>
          <w:p w14:paraId="2084E51E" w14:textId="77777777" w:rsidR="00B72890" w:rsidRPr="002A4C75" w:rsidRDefault="00B72890">
            <w:pPr>
              <w:pStyle w:val="Level111G1"/>
              <w:rPr>
                <w:sz w:val="32"/>
                <w:szCs w:val="32"/>
              </w:rPr>
            </w:pPr>
          </w:p>
        </w:tc>
        <w:tc>
          <w:tcPr>
            <w:tcW w:w="450" w:type="dxa"/>
            <w:tcBorders>
              <w:left w:val="single" w:sz="6" w:space="0" w:color="auto"/>
            </w:tcBorders>
          </w:tcPr>
          <w:p w14:paraId="25566A1F" w14:textId="77777777" w:rsidR="00B72890" w:rsidRPr="002A4C75" w:rsidRDefault="00B72890">
            <w:pPr>
              <w:pStyle w:val="Level111G1"/>
              <w:rPr>
                <w:sz w:val="32"/>
                <w:szCs w:val="32"/>
              </w:rPr>
            </w:pPr>
          </w:p>
        </w:tc>
        <w:tc>
          <w:tcPr>
            <w:tcW w:w="450" w:type="dxa"/>
            <w:tcBorders>
              <w:left w:val="single" w:sz="6" w:space="0" w:color="auto"/>
            </w:tcBorders>
          </w:tcPr>
          <w:p w14:paraId="7F31DFE7" w14:textId="77777777" w:rsidR="00B72890" w:rsidRPr="002A4C75" w:rsidRDefault="00B72890">
            <w:pPr>
              <w:pStyle w:val="Level111G1"/>
              <w:rPr>
                <w:sz w:val="32"/>
                <w:szCs w:val="32"/>
              </w:rPr>
            </w:pPr>
          </w:p>
        </w:tc>
        <w:tc>
          <w:tcPr>
            <w:tcW w:w="1001" w:type="dxa"/>
            <w:tcBorders>
              <w:left w:val="single" w:sz="6" w:space="0" w:color="auto"/>
            </w:tcBorders>
          </w:tcPr>
          <w:p w14:paraId="3767AD69" w14:textId="77777777" w:rsidR="00B72890" w:rsidRPr="002A4C75" w:rsidRDefault="00B72890">
            <w:pPr>
              <w:pStyle w:val="Level111G1"/>
              <w:rPr>
                <w:sz w:val="32"/>
                <w:szCs w:val="32"/>
              </w:rPr>
            </w:pPr>
          </w:p>
        </w:tc>
        <w:tc>
          <w:tcPr>
            <w:tcW w:w="1001" w:type="dxa"/>
            <w:tcBorders>
              <w:left w:val="single" w:sz="6" w:space="0" w:color="auto"/>
            </w:tcBorders>
          </w:tcPr>
          <w:p w14:paraId="1F745ECD" w14:textId="77777777" w:rsidR="00B72890" w:rsidRPr="002A4C75" w:rsidRDefault="00B72890">
            <w:pPr>
              <w:pStyle w:val="Level111G1"/>
              <w:rPr>
                <w:sz w:val="32"/>
                <w:szCs w:val="32"/>
              </w:rPr>
            </w:pPr>
          </w:p>
        </w:tc>
      </w:tr>
      <w:tr w:rsidR="00B72890" w:rsidRPr="00FB5173" w14:paraId="026F9CDC" w14:textId="77777777" w:rsidTr="008D4DC4">
        <w:trPr>
          <w:cantSplit/>
          <w:trHeight w:val="261"/>
        </w:trPr>
        <w:tc>
          <w:tcPr>
            <w:tcW w:w="6948" w:type="dxa"/>
          </w:tcPr>
          <w:p w14:paraId="2CCA645A" w14:textId="77777777" w:rsidR="00B72890" w:rsidRPr="00404F05" w:rsidRDefault="001B1506" w:rsidP="008D4DC4">
            <w:pPr>
              <w:pStyle w:val="Level2"/>
              <w:spacing w:before="0" w:after="0"/>
              <w:ind w:left="1166" w:hanging="1166"/>
            </w:pPr>
            <w:r w:rsidRPr="00404F05">
              <w:tab/>
              <w:t>.1</w:t>
            </w:r>
            <w:r w:rsidRPr="00404F05">
              <w:tab/>
              <w:t>Parties.</w:t>
            </w:r>
          </w:p>
        </w:tc>
        <w:tc>
          <w:tcPr>
            <w:tcW w:w="450" w:type="dxa"/>
            <w:tcBorders>
              <w:left w:val="single" w:sz="6" w:space="0" w:color="auto"/>
            </w:tcBorders>
          </w:tcPr>
          <w:p w14:paraId="6B789AB9"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0CD496BC"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52A75096"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77CB5D5C"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4FC98E94" w14:textId="77777777" w:rsidR="00B72890" w:rsidRPr="002A4C75" w:rsidRDefault="00B72890" w:rsidP="008D4DC4">
            <w:pPr>
              <w:pStyle w:val="Level2"/>
              <w:spacing w:before="0" w:after="0"/>
              <w:ind w:left="1166" w:hanging="1166"/>
              <w:rPr>
                <w:sz w:val="32"/>
                <w:szCs w:val="32"/>
              </w:rPr>
            </w:pPr>
          </w:p>
        </w:tc>
      </w:tr>
      <w:tr w:rsidR="00B72890" w:rsidRPr="00FB5173" w14:paraId="26CCC573" w14:textId="77777777" w:rsidTr="008D4DC4">
        <w:trPr>
          <w:cantSplit/>
          <w:trHeight w:val="243"/>
        </w:trPr>
        <w:tc>
          <w:tcPr>
            <w:tcW w:w="6948" w:type="dxa"/>
          </w:tcPr>
          <w:p w14:paraId="0EE15647" w14:textId="77777777" w:rsidR="00B72890" w:rsidRPr="00404F05" w:rsidRDefault="001B1506" w:rsidP="008D4DC4">
            <w:pPr>
              <w:pStyle w:val="Level2"/>
              <w:spacing w:before="0" w:after="0"/>
              <w:ind w:left="1166" w:hanging="1166"/>
            </w:pPr>
            <w:r w:rsidRPr="00404F05">
              <w:tab/>
              <w:t>.2</w:t>
            </w:r>
            <w:r w:rsidRPr="00404F05">
              <w:tab/>
              <w:t>Offer, acceptance, and consideration.</w:t>
            </w:r>
          </w:p>
        </w:tc>
        <w:tc>
          <w:tcPr>
            <w:tcW w:w="450" w:type="dxa"/>
            <w:tcBorders>
              <w:left w:val="single" w:sz="6" w:space="0" w:color="auto"/>
            </w:tcBorders>
          </w:tcPr>
          <w:p w14:paraId="75B797AA"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1F425C9B"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4FE765EC"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7B3DF0BD"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124972FB" w14:textId="77777777" w:rsidR="00B72890" w:rsidRPr="002A4C75" w:rsidRDefault="00B72890" w:rsidP="008D4DC4">
            <w:pPr>
              <w:pStyle w:val="Level2"/>
              <w:spacing w:before="0" w:after="0"/>
              <w:ind w:left="1166" w:hanging="1166"/>
              <w:rPr>
                <w:sz w:val="32"/>
                <w:szCs w:val="32"/>
              </w:rPr>
            </w:pPr>
          </w:p>
        </w:tc>
      </w:tr>
      <w:tr w:rsidR="00B72890" w:rsidRPr="00FB5173" w14:paraId="54A6E932" w14:textId="77777777">
        <w:trPr>
          <w:cantSplit/>
          <w:trHeight w:val="531"/>
        </w:trPr>
        <w:tc>
          <w:tcPr>
            <w:tcW w:w="6948" w:type="dxa"/>
          </w:tcPr>
          <w:p w14:paraId="18BFA472" w14:textId="77777777" w:rsidR="00B72890" w:rsidRPr="00404F05" w:rsidRDefault="001B1506">
            <w:pPr>
              <w:pStyle w:val="Level2"/>
            </w:pPr>
            <w:r w:rsidRPr="00404F05">
              <w:tab/>
              <w:t>.3</w:t>
            </w:r>
            <w:r w:rsidRPr="00404F05">
              <w:tab/>
              <w:t xml:space="preserve">Basic provisions to be included in the lease (see the </w:t>
            </w:r>
            <w:r w:rsidRPr="00404F05">
              <w:rPr>
                <w:smallCaps/>
              </w:rPr>
              <w:t>commercial lease drafting (B-11)</w:t>
            </w:r>
            <w:r w:rsidRPr="00404F05">
              <w:t xml:space="preserve"> checklist).</w:t>
            </w:r>
          </w:p>
        </w:tc>
        <w:tc>
          <w:tcPr>
            <w:tcW w:w="450" w:type="dxa"/>
            <w:tcBorders>
              <w:left w:val="single" w:sz="6" w:space="0" w:color="auto"/>
            </w:tcBorders>
          </w:tcPr>
          <w:p w14:paraId="0B1470D3" w14:textId="77777777" w:rsidR="00B72890" w:rsidRPr="002A4C75" w:rsidRDefault="00B72890">
            <w:pPr>
              <w:pStyle w:val="Level2"/>
              <w:rPr>
                <w:sz w:val="32"/>
                <w:szCs w:val="32"/>
              </w:rPr>
            </w:pPr>
          </w:p>
        </w:tc>
        <w:tc>
          <w:tcPr>
            <w:tcW w:w="450" w:type="dxa"/>
            <w:tcBorders>
              <w:left w:val="single" w:sz="6" w:space="0" w:color="auto"/>
            </w:tcBorders>
          </w:tcPr>
          <w:p w14:paraId="2A39061A" w14:textId="77777777" w:rsidR="00B72890" w:rsidRPr="002A4C75" w:rsidRDefault="00B72890">
            <w:pPr>
              <w:pStyle w:val="Level2"/>
              <w:rPr>
                <w:sz w:val="32"/>
                <w:szCs w:val="32"/>
              </w:rPr>
            </w:pPr>
          </w:p>
        </w:tc>
        <w:tc>
          <w:tcPr>
            <w:tcW w:w="450" w:type="dxa"/>
            <w:tcBorders>
              <w:left w:val="single" w:sz="6" w:space="0" w:color="auto"/>
            </w:tcBorders>
          </w:tcPr>
          <w:p w14:paraId="68ABD6CE" w14:textId="77777777" w:rsidR="00B72890" w:rsidRPr="002A4C75" w:rsidRDefault="00B72890">
            <w:pPr>
              <w:pStyle w:val="Level2"/>
              <w:rPr>
                <w:sz w:val="32"/>
                <w:szCs w:val="32"/>
              </w:rPr>
            </w:pPr>
          </w:p>
        </w:tc>
        <w:tc>
          <w:tcPr>
            <w:tcW w:w="1001" w:type="dxa"/>
            <w:tcBorders>
              <w:left w:val="single" w:sz="6" w:space="0" w:color="auto"/>
            </w:tcBorders>
          </w:tcPr>
          <w:p w14:paraId="235C81FE" w14:textId="77777777" w:rsidR="00B72890" w:rsidRPr="002A4C75" w:rsidRDefault="00B72890">
            <w:pPr>
              <w:pStyle w:val="Level2"/>
              <w:rPr>
                <w:sz w:val="32"/>
                <w:szCs w:val="32"/>
              </w:rPr>
            </w:pPr>
          </w:p>
        </w:tc>
        <w:tc>
          <w:tcPr>
            <w:tcW w:w="1001" w:type="dxa"/>
            <w:tcBorders>
              <w:left w:val="single" w:sz="6" w:space="0" w:color="auto"/>
            </w:tcBorders>
          </w:tcPr>
          <w:p w14:paraId="2EF3A8FE" w14:textId="77777777" w:rsidR="00B72890" w:rsidRPr="002A4C75" w:rsidRDefault="00B72890">
            <w:pPr>
              <w:pStyle w:val="Level2"/>
              <w:rPr>
                <w:sz w:val="32"/>
                <w:szCs w:val="32"/>
              </w:rPr>
            </w:pPr>
          </w:p>
        </w:tc>
      </w:tr>
      <w:tr w:rsidR="00B72890" w:rsidRPr="00FB5173" w14:paraId="22DBEB24" w14:textId="77777777">
        <w:trPr>
          <w:cantSplit/>
          <w:trHeight w:val="297"/>
        </w:trPr>
        <w:tc>
          <w:tcPr>
            <w:tcW w:w="6948" w:type="dxa"/>
          </w:tcPr>
          <w:p w14:paraId="224D0399" w14:textId="77777777" w:rsidR="00B72890" w:rsidRPr="00404F05" w:rsidRDefault="001B1506" w:rsidP="00193E31">
            <w:pPr>
              <w:pStyle w:val="Level2"/>
              <w:spacing w:after="0"/>
              <w:ind w:left="1166" w:hanging="1166"/>
            </w:pPr>
            <w:r w:rsidRPr="00404F05">
              <w:tab/>
              <w:t>.4</w:t>
            </w:r>
            <w:r w:rsidRPr="00404F05">
              <w:tab/>
              <w:t>Work to be done by both parties.</w:t>
            </w:r>
          </w:p>
        </w:tc>
        <w:tc>
          <w:tcPr>
            <w:tcW w:w="450" w:type="dxa"/>
            <w:tcBorders>
              <w:left w:val="single" w:sz="6" w:space="0" w:color="auto"/>
            </w:tcBorders>
          </w:tcPr>
          <w:p w14:paraId="7F8FD5A7" w14:textId="77777777" w:rsidR="00B72890" w:rsidRPr="002A4C75" w:rsidRDefault="00B72890" w:rsidP="00193E31">
            <w:pPr>
              <w:pStyle w:val="Level2"/>
              <w:spacing w:after="0"/>
              <w:ind w:left="1166" w:hanging="1166"/>
              <w:rPr>
                <w:sz w:val="32"/>
                <w:szCs w:val="32"/>
              </w:rPr>
            </w:pPr>
          </w:p>
        </w:tc>
        <w:tc>
          <w:tcPr>
            <w:tcW w:w="450" w:type="dxa"/>
            <w:tcBorders>
              <w:left w:val="single" w:sz="6" w:space="0" w:color="auto"/>
            </w:tcBorders>
          </w:tcPr>
          <w:p w14:paraId="4C045609" w14:textId="77777777" w:rsidR="00B72890" w:rsidRPr="002A4C75" w:rsidRDefault="00B72890" w:rsidP="00193E31">
            <w:pPr>
              <w:pStyle w:val="Level2"/>
              <w:spacing w:after="0"/>
              <w:ind w:left="1166" w:hanging="1166"/>
              <w:rPr>
                <w:sz w:val="32"/>
                <w:szCs w:val="32"/>
              </w:rPr>
            </w:pPr>
          </w:p>
        </w:tc>
        <w:tc>
          <w:tcPr>
            <w:tcW w:w="450" w:type="dxa"/>
            <w:tcBorders>
              <w:left w:val="single" w:sz="6" w:space="0" w:color="auto"/>
            </w:tcBorders>
          </w:tcPr>
          <w:p w14:paraId="5D658689" w14:textId="77777777" w:rsidR="00B72890" w:rsidRPr="002A4C75" w:rsidRDefault="00B72890" w:rsidP="00193E31">
            <w:pPr>
              <w:pStyle w:val="Level2"/>
              <w:spacing w:after="0"/>
              <w:ind w:left="1166" w:hanging="1166"/>
              <w:rPr>
                <w:sz w:val="32"/>
                <w:szCs w:val="32"/>
              </w:rPr>
            </w:pPr>
          </w:p>
        </w:tc>
        <w:tc>
          <w:tcPr>
            <w:tcW w:w="1001" w:type="dxa"/>
            <w:tcBorders>
              <w:left w:val="single" w:sz="6" w:space="0" w:color="auto"/>
            </w:tcBorders>
          </w:tcPr>
          <w:p w14:paraId="1AE72BDC" w14:textId="77777777" w:rsidR="00B72890" w:rsidRPr="002A4C75" w:rsidRDefault="00B72890" w:rsidP="00193E31">
            <w:pPr>
              <w:pStyle w:val="Level2"/>
              <w:spacing w:after="0"/>
              <w:ind w:left="1166" w:hanging="1166"/>
              <w:rPr>
                <w:sz w:val="32"/>
                <w:szCs w:val="32"/>
              </w:rPr>
            </w:pPr>
          </w:p>
        </w:tc>
        <w:tc>
          <w:tcPr>
            <w:tcW w:w="1001" w:type="dxa"/>
            <w:tcBorders>
              <w:left w:val="single" w:sz="6" w:space="0" w:color="auto"/>
            </w:tcBorders>
          </w:tcPr>
          <w:p w14:paraId="318A5497" w14:textId="77777777" w:rsidR="00B72890" w:rsidRPr="002A4C75" w:rsidRDefault="00B72890" w:rsidP="00193E31">
            <w:pPr>
              <w:pStyle w:val="Level2"/>
              <w:spacing w:after="0"/>
              <w:ind w:left="1166" w:hanging="1166"/>
              <w:rPr>
                <w:sz w:val="32"/>
                <w:szCs w:val="32"/>
              </w:rPr>
            </w:pPr>
          </w:p>
        </w:tc>
      </w:tr>
      <w:tr w:rsidR="00B72890" w:rsidRPr="00FB5173" w14:paraId="6D99B313" w14:textId="77777777">
        <w:trPr>
          <w:cantSplit/>
          <w:trHeight w:val="1386"/>
        </w:trPr>
        <w:tc>
          <w:tcPr>
            <w:tcW w:w="6948" w:type="dxa"/>
          </w:tcPr>
          <w:p w14:paraId="69D88616" w14:textId="4A256DEA" w:rsidR="00B72890" w:rsidRPr="00404F05" w:rsidRDefault="001B1506">
            <w:pPr>
              <w:pStyle w:val="Level2"/>
            </w:pPr>
            <w:r w:rsidRPr="00404F05">
              <w:tab/>
              <w:t>.5</w:t>
            </w:r>
            <w:r w:rsidRPr="00404F05">
              <w:tab/>
              <w:t xml:space="preserve">Inducements to be offered, including free rent. Consider the effect of GST/PST on inducements and ownership of tenant improvements. Commercial lease payments are generally subject to GST, but commercial leases would not generally include PST, which applies to tangible personal property and some services. Both PST and GST are generally applicable to legal services. Further information about the GST and PST can be found at </w:t>
            </w:r>
            <w:hyperlink r:id="rId16" w:history="1">
              <w:r w:rsidRPr="00404F05">
                <w:rPr>
                  <w:rStyle w:val="Hyperlink"/>
                </w:rPr>
                <w:t>www.canada.ca/en/services/taxes.html</w:t>
              </w:r>
            </w:hyperlink>
            <w:r w:rsidRPr="00404F05">
              <w:t xml:space="preserve"> and </w:t>
            </w:r>
            <w:hyperlink r:id="rId17" w:history="1">
              <w:r w:rsidRPr="00DE7129">
                <w:rPr>
                  <w:rStyle w:val="Hyperlink"/>
                </w:rPr>
                <w:t>www2.</w:t>
              </w:r>
              <w:r w:rsidRPr="00DE7129">
                <w:rPr>
                  <w:rStyle w:val="Hyperlink"/>
                </w:rPr>
                <w:br/>
                <w:t>gov.bc.ca</w:t>
              </w:r>
            </w:hyperlink>
            <w:r w:rsidRPr="00404F05">
              <w:t xml:space="preserve">, and see also chapter 14 (GST and Commercial Leasing) in </w:t>
            </w:r>
            <w:r w:rsidRPr="00404F05">
              <w:rPr>
                <w:i/>
              </w:rPr>
              <w:t xml:space="preserve">Commercial Leasing: Annotated Precedents </w:t>
            </w:r>
            <w:r w:rsidRPr="00404F05">
              <w:rPr>
                <w:rStyle w:val="Italics"/>
                <w:rFonts w:ascii="Times New Roman" w:hAnsi="Times New Roman"/>
                <w:i w:val="0"/>
                <w:iCs/>
              </w:rPr>
              <w:t>(CLEBC, 1996–)</w:t>
            </w:r>
            <w:r w:rsidRPr="00404F05">
              <w:t>.</w:t>
            </w:r>
          </w:p>
        </w:tc>
        <w:tc>
          <w:tcPr>
            <w:tcW w:w="450" w:type="dxa"/>
            <w:tcBorders>
              <w:left w:val="single" w:sz="6" w:space="0" w:color="auto"/>
            </w:tcBorders>
          </w:tcPr>
          <w:p w14:paraId="329CFB2B" w14:textId="77777777" w:rsidR="00B72890" w:rsidRPr="00193E31" w:rsidRDefault="00B72890">
            <w:pPr>
              <w:pStyle w:val="Level2"/>
              <w:rPr>
                <w:sz w:val="32"/>
                <w:szCs w:val="32"/>
              </w:rPr>
            </w:pPr>
          </w:p>
        </w:tc>
        <w:tc>
          <w:tcPr>
            <w:tcW w:w="450" w:type="dxa"/>
            <w:tcBorders>
              <w:left w:val="single" w:sz="6" w:space="0" w:color="auto"/>
            </w:tcBorders>
          </w:tcPr>
          <w:p w14:paraId="4B5C8028" w14:textId="77777777" w:rsidR="00B72890" w:rsidRPr="00193E31" w:rsidRDefault="00B72890">
            <w:pPr>
              <w:pStyle w:val="Level2"/>
              <w:rPr>
                <w:sz w:val="32"/>
                <w:szCs w:val="32"/>
              </w:rPr>
            </w:pPr>
          </w:p>
        </w:tc>
        <w:tc>
          <w:tcPr>
            <w:tcW w:w="450" w:type="dxa"/>
            <w:tcBorders>
              <w:left w:val="single" w:sz="6" w:space="0" w:color="auto"/>
            </w:tcBorders>
          </w:tcPr>
          <w:p w14:paraId="36AD48B6" w14:textId="77777777" w:rsidR="00B72890" w:rsidRPr="00193E31" w:rsidRDefault="00B72890">
            <w:pPr>
              <w:pStyle w:val="Level2"/>
              <w:rPr>
                <w:sz w:val="32"/>
                <w:szCs w:val="32"/>
              </w:rPr>
            </w:pPr>
          </w:p>
        </w:tc>
        <w:tc>
          <w:tcPr>
            <w:tcW w:w="1001" w:type="dxa"/>
            <w:tcBorders>
              <w:left w:val="single" w:sz="6" w:space="0" w:color="auto"/>
            </w:tcBorders>
          </w:tcPr>
          <w:p w14:paraId="30CB4137" w14:textId="77777777" w:rsidR="00B72890" w:rsidRPr="00193E31" w:rsidRDefault="00B72890">
            <w:pPr>
              <w:pStyle w:val="Level2"/>
              <w:rPr>
                <w:sz w:val="32"/>
                <w:szCs w:val="32"/>
              </w:rPr>
            </w:pPr>
          </w:p>
        </w:tc>
        <w:tc>
          <w:tcPr>
            <w:tcW w:w="1001" w:type="dxa"/>
            <w:tcBorders>
              <w:left w:val="single" w:sz="6" w:space="0" w:color="auto"/>
            </w:tcBorders>
          </w:tcPr>
          <w:p w14:paraId="00919F52" w14:textId="77777777" w:rsidR="00B72890" w:rsidRPr="00193E31" w:rsidRDefault="00B72890">
            <w:pPr>
              <w:pStyle w:val="Level2"/>
              <w:rPr>
                <w:sz w:val="32"/>
                <w:szCs w:val="32"/>
              </w:rPr>
            </w:pPr>
          </w:p>
        </w:tc>
      </w:tr>
      <w:tr w:rsidR="00B72890" w:rsidRPr="00FB5173" w14:paraId="30E5B600" w14:textId="77777777">
        <w:trPr>
          <w:cantSplit/>
          <w:trHeight w:val="774"/>
        </w:trPr>
        <w:tc>
          <w:tcPr>
            <w:tcW w:w="6948" w:type="dxa"/>
          </w:tcPr>
          <w:p w14:paraId="3C77D923" w14:textId="77777777" w:rsidR="00B72890" w:rsidRPr="00404F05" w:rsidRDefault="001B1506">
            <w:pPr>
              <w:pStyle w:val="Level2"/>
            </w:pPr>
            <w:r w:rsidRPr="00404F05">
              <w:tab/>
              <w:t>.6</w:t>
            </w:r>
            <w:r w:rsidRPr="00404F05">
              <w:tab/>
              <w:t xml:space="preserve">Provision that the tenant’s interest in affixed goods (fixtures) does not arise until 24 hours after affixation, to attempt to avoid application of the </w:t>
            </w:r>
            <w:r w:rsidRPr="00404F05">
              <w:rPr>
                <w:rStyle w:val="Italics"/>
                <w:rFonts w:ascii="Times New Roman" w:hAnsi="Times New Roman"/>
              </w:rPr>
              <w:t>Personal Property Security Act</w:t>
            </w:r>
            <w:r w:rsidRPr="00404F05">
              <w:rPr>
                <w:rStyle w:val="Italics"/>
                <w:rFonts w:ascii="Times New Roman" w:hAnsi="Times New Roman"/>
                <w:i w:val="0"/>
                <w:iCs/>
              </w:rPr>
              <w:t>, R.S.B.C. 1996, c. 359, s. 36(3)</w:t>
            </w:r>
            <w:r w:rsidRPr="00404F05">
              <w:t>.</w:t>
            </w:r>
          </w:p>
        </w:tc>
        <w:tc>
          <w:tcPr>
            <w:tcW w:w="450" w:type="dxa"/>
            <w:tcBorders>
              <w:left w:val="single" w:sz="6" w:space="0" w:color="auto"/>
            </w:tcBorders>
          </w:tcPr>
          <w:p w14:paraId="5CD1F50C" w14:textId="77777777" w:rsidR="00B72890" w:rsidRPr="00193E31" w:rsidRDefault="00B72890">
            <w:pPr>
              <w:pStyle w:val="Level2"/>
              <w:rPr>
                <w:sz w:val="32"/>
                <w:szCs w:val="32"/>
              </w:rPr>
            </w:pPr>
          </w:p>
        </w:tc>
        <w:tc>
          <w:tcPr>
            <w:tcW w:w="450" w:type="dxa"/>
            <w:tcBorders>
              <w:left w:val="single" w:sz="6" w:space="0" w:color="auto"/>
            </w:tcBorders>
          </w:tcPr>
          <w:p w14:paraId="7DB2A552" w14:textId="77777777" w:rsidR="00B72890" w:rsidRPr="00193E31" w:rsidRDefault="00B72890">
            <w:pPr>
              <w:pStyle w:val="Level2"/>
              <w:rPr>
                <w:sz w:val="32"/>
                <w:szCs w:val="32"/>
              </w:rPr>
            </w:pPr>
          </w:p>
        </w:tc>
        <w:tc>
          <w:tcPr>
            <w:tcW w:w="450" w:type="dxa"/>
            <w:tcBorders>
              <w:left w:val="single" w:sz="6" w:space="0" w:color="auto"/>
            </w:tcBorders>
          </w:tcPr>
          <w:p w14:paraId="497D446F" w14:textId="77777777" w:rsidR="00B72890" w:rsidRPr="00193E31" w:rsidRDefault="00B72890">
            <w:pPr>
              <w:pStyle w:val="Level2"/>
              <w:rPr>
                <w:sz w:val="32"/>
                <w:szCs w:val="32"/>
              </w:rPr>
            </w:pPr>
          </w:p>
        </w:tc>
        <w:tc>
          <w:tcPr>
            <w:tcW w:w="1001" w:type="dxa"/>
            <w:tcBorders>
              <w:left w:val="single" w:sz="6" w:space="0" w:color="auto"/>
            </w:tcBorders>
          </w:tcPr>
          <w:p w14:paraId="65B723B9" w14:textId="77777777" w:rsidR="00B72890" w:rsidRPr="00193E31" w:rsidRDefault="00B72890">
            <w:pPr>
              <w:pStyle w:val="Level2"/>
              <w:rPr>
                <w:sz w:val="32"/>
                <w:szCs w:val="32"/>
              </w:rPr>
            </w:pPr>
          </w:p>
        </w:tc>
        <w:tc>
          <w:tcPr>
            <w:tcW w:w="1001" w:type="dxa"/>
            <w:tcBorders>
              <w:left w:val="single" w:sz="6" w:space="0" w:color="auto"/>
            </w:tcBorders>
          </w:tcPr>
          <w:p w14:paraId="3DE26266" w14:textId="77777777" w:rsidR="00B72890" w:rsidRPr="00193E31" w:rsidRDefault="00B72890">
            <w:pPr>
              <w:pStyle w:val="Level2"/>
              <w:rPr>
                <w:sz w:val="32"/>
                <w:szCs w:val="32"/>
              </w:rPr>
            </w:pPr>
          </w:p>
        </w:tc>
      </w:tr>
      <w:tr w:rsidR="00B72890" w:rsidRPr="00FB5173" w14:paraId="6E9209A2" w14:textId="77777777">
        <w:trPr>
          <w:cantSplit/>
        </w:trPr>
        <w:tc>
          <w:tcPr>
            <w:tcW w:w="6948" w:type="dxa"/>
          </w:tcPr>
          <w:p w14:paraId="7783FAC2" w14:textId="77777777" w:rsidR="00B72890" w:rsidRPr="00404F05" w:rsidRDefault="001B1506">
            <w:pPr>
              <w:pStyle w:val="Level2"/>
              <w:tabs>
                <w:tab w:val="clear" w:pos="1080"/>
                <w:tab w:val="clear" w:pos="1170"/>
                <w:tab w:val="left" w:pos="943"/>
              </w:tabs>
              <w:ind w:left="1177" w:hanging="1177"/>
            </w:pPr>
            <w:r w:rsidRPr="00404F05">
              <w:tab/>
              <w:t>.7 Due diligence period if further investigation of the premises to be leased is required, or if permits need to be obtained (e.g., building permits if premises are being renovated or built).</w:t>
            </w:r>
          </w:p>
        </w:tc>
        <w:tc>
          <w:tcPr>
            <w:tcW w:w="450" w:type="dxa"/>
            <w:tcBorders>
              <w:left w:val="single" w:sz="6" w:space="0" w:color="auto"/>
            </w:tcBorders>
          </w:tcPr>
          <w:p w14:paraId="1D37DFBC" w14:textId="77777777" w:rsidR="00B72890" w:rsidRPr="00193E31" w:rsidRDefault="00B72890">
            <w:pPr>
              <w:pStyle w:val="Level2"/>
              <w:rPr>
                <w:sz w:val="32"/>
                <w:szCs w:val="32"/>
              </w:rPr>
            </w:pPr>
          </w:p>
        </w:tc>
        <w:tc>
          <w:tcPr>
            <w:tcW w:w="450" w:type="dxa"/>
            <w:tcBorders>
              <w:left w:val="single" w:sz="6" w:space="0" w:color="auto"/>
            </w:tcBorders>
          </w:tcPr>
          <w:p w14:paraId="038F017F" w14:textId="77777777" w:rsidR="00B72890" w:rsidRPr="00193E31" w:rsidRDefault="00B72890">
            <w:pPr>
              <w:pStyle w:val="Level2"/>
              <w:rPr>
                <w:sz w:val="32"/>
                <w:szCs w:val="32"/>
              </w:rPr>
            </w:pPr>
          </w:p>
        </w:tc>
        <w:tc>
          <w:tcPr>
            <w:tcW w:w="450" w:type="dxa"/>
            <w:tcBorders>
              <w:left w:val="single" w:sz="6" w:space="0" w:color="auto"/>
            </w:tcBorders>
          </w:tcPr>
          <w:p w14:paraId="20392295" w14:textId="77777777" w:rsidR="00B72890" w:rsidRPr="00193E31" w:rsidRDefault="00B72890">
            <w:pPr>
              <w:pStyle w:val="Level2"/>
              <w:rPr>
                <w:sz w:val="32"/>
                <w:szCs w:val="32"/>
              </w:rPr>
            </w:pPr>
          </w:p>
        </w:tc>
        <w:tc>
          <w:tcPr>
            <w:tcW w:w="1001" w:type="dxa"/>
            <w:tcBorders>
              <w:left w:val="single" w:sz="6" w:space="0" w:color="auto"/>
            </w:tcBorders>
          </w:tcPr>
          <w:p w14:paraId="4AF05F82" w14:textId="77777777" w:rsidR="00B72890" w:rsidRPr="00193E31" w:rsidRDefault="00B72890">
            <w:pPr>
              <w:pStyle w:val="Level2"/>
              <w:rPr>
                <w:sz w:val="32"/>
                <w:szCs w:val="32"/>
              </w:rPr>
            </w:pPr>
          </w:p>
        </w:tc>
        <w:tc>
          <w:tcPr>
            <w:tcW w:w="1001" w:type="dxa"/>
            <w:tcBorders>
              <w:left w:val="single" w:sz="6" w:space="0" w:color="auto"/>
            </w:tcBorders>
          </w:tcPr>
          <w:p w14:paraId="028CCC9B" w14:textId="77777777" w:rsidR="00B72890" w:rsidRPr="00193E31" w:rsidRDefault="00B72890">
            <w:pPr>
              <w:pStyle w:val="Level2"/>
              <w:rPr>
                <w:sz w:val="32"/>
                <w:szCs w:val="32"/>
              </w:rPr>
            </w:pPr>
          </w:p>
        </w:tc>
      </w:tr>
      <w:tr w:rsidR="00B72890" w:rsidRPr="00FB5173" w14:paraId="1DF9FE9A" w14:textId="77777777" w:rsidTr="00193E31">
        <w:trPr>
          <w:cantSplit/>
          <w:trHeight w:val="369"/>
        </w:trPr>
        <w:tc>
          <w:tcPr>
            <w:tcW w:w="6948" w:type="dxa"/>
          </w:tcPr>
          <w:p w14:paraId="738875F3" w14:textId="77777777" w:rsidR="00B72890" w:rsidRPr="00404F05" w:rsidRDefault="001B1506" w:rsidP="00193E31">
            <w:pPr>
              <w:pStyle w:val="Level2"/>
              <w:spacing w:after="0"/>
              <w:ind w:left="1166" w:hanging="1166"/>
            </w:pPr>
            <w:r w:rsidRPr="00404F05">
              <w:tab/>
              <w:t>.8</w:t>
            </w:r>
            <w:r w:rsidRPr="00404F05">
              <w:tab/>
              <w:t>Termination in the event that conditions precedent, if any, are not met.</w:t>
            </w:r>
          </w:p>
        </w:tc>
        <w:tc>
          <w:tcPr>
            <w:tcW w:w="450" w:type="dxa"/>
            <w:tcBorders>
              <w:left w:val="single" w:sz="6" w:space="0" w:color="auto"/>
            </w:tcBorders>
          </w:tcPr>
          <w:p w14:paraId="5521E3FC"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10342C5E"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3C96C241"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7EA7029D"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681C3A6B" w14:textId="77777777" w:rsidR="00B72890" w:rsidRPr="00193E31" w:rsidRDefault="00B72890" w:rsidP="00193E31">
            <w:pPr>
              <w:pStyle w:val="Level2"/>
              <w:spacing w:after="0"/>
              <w:ind w:left="1166" w:hanging="1166"/>
              <w:rPr>
                <w:sz w:val="32"/>
                <w:szCs w:val="32"/>
              </w:rPr>
            </w:pPr>
          </w:p>
        </w:tc>
      </w:tr>
      <w:tr w:rsidR="00B72890" w:rsidRPr="00FB5173" w14:paraId="270A9430" w14:textId="77777777" w:rsidTr="00193E31">
        <w:trPr>
          <w:cantSplit/>
          <w:trHeight w:val="342"/>
        </w:trPr>
        <w:tc>
          <w:tcPr>
            <w:tcW w:w="6948" w:type="dxa"/>
          </w:tcPr>
          <w:p w14:paraId="1AA92AB8" w14:textId="77777777" w:rsidR="00B72890" w:rsidRPr="00404F05" w:rsidRDefault="001B1506" w:rsidP="00193E31">
            <w:pPr>
              <w:pStyle w:val="Level2"/>
              <w:spacing w:after="0"/>
              <w:ind w:left="1166" w:hanging="1166"/>
            </w:pPr>
            <w:r w:rsidRPr="00404F05">
              <w:tab/>
              <w:t>.9</w:t>
            </w:r>
            <w:r w:rsidRPr="00404F05">
              <w:tab/>
              <w:t xml:space="preserve">Security deposit/security for rent under the lease. </w:t>
            </w:r>
          </w:p>
        </w:tc>
        <w:tc>
          <w:tcPr>
            <w:tcW w:w="450" w:type="dxa"/>
            <w:tcBorders>
              <w:left w:val="single" w:sz="6" w:space="0" w:color="auto"/>
            </w:tcBorders>
          </w:tcPr>
          <w:p w14:paraId="66D8A756"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20988DEC"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17895DFE"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0BE7A927"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5150E268" w14:textId="77777777" w:rsidR="00B72890" w:rsidRPr="00193E31" w:rsidRDefault="00B72890" w:rsidP="00193E31">
            <w:pPr>
              <w:pStyle w:val="Level2"/>
              <w:spacing w:after="0"/>
              <w:ind w:left="1166" w:hanging="1166"/>
              <w:rPr>
                <w:sz w:val="32"/>
                <w:szCs w:val="32"/>
              </w:rPr>
            </w:pPr>
          </w:p>
        </w:tc>
      </w:tr>
      <w:tr w:rsidR="00B72890" w:rsidRPr="00FB5173" w14:paraId="6C67C69B" w14:textId="77777777" w:rsidTr="00193E31">
        <w:trPr>
          <w:cantSplit/>
          <w:trHeight w:val="378"/>
        </w:trPr>
        <w:tc>
          <w:tcPr>
            <w:tcW w:w="6948" w:type="dxa"/>
          </w:tcPr>
          <w:p w14:paraId="5BE3B832" w14:textId="77777777" w:rsidR="00B72890" w:rsidRPr="00404F05" w:rsidRDefault="001B1506" w:rsidP="00193E31">
            <w:pPr>
              <w:pStyle w:val="Level2"/>
              <w:spacing w:after="0"/>
              <w:ind w:left="1166" w:hanging="1166"/>
            </w:pPr>
            <w:r w:rsidRPr="00404F05">
              <w:lastRenderedPageBreak/>
              <w:tab/>
              <w:t>.10</w:t>
            </w:r>
            <w:r w:rsidRPr="00404F05">
              <w:tab/>
              <w:t>Legal effect of an offer after the lease is executed.</w:t>
            </w:r>
          </w:p>
        </w:tc>
        <w:tc>
          <w:tcPr>
            <w:tcW w:w="450" w:type="dxa"/>
            <w:tcBorders>
              <w:left w:val="single" w:sz="6" w:space="0" w:color="auto"/>
            </w:tcBorders>
          </w:tcPr>
          <w:p w14:paraId="4A1E504C"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07FB504D" w14:textId="77777777" w:rsidR="00B72890" w:rsidRPr="00193E31" w:rsidRDefault="00B72890" w:rsidP="00193E31">
            <w:pPr>
              <w:pStyle w:val="Level2"/>
              <w:spacing w:after="0"/>
              <w:ind w:left="1166" w:hanging="1166"/>
              <w:rPr>
                <w:sz w:val="32"/>
                <w:szCs w:val="32"/>
              </w:rPr>
            </w:pPr>
          </w:p>
        </w:tc>
        <w:tc>
          <w:tcPr>
            <w:tcW w:w="450" w:type="dxa"/>
            <w:tcBorders>
              <w:left w:val="single" w:sz="6" w:space="0" w:color="auto"/>
            </w:tcBorders>
          </w:tcPr>
          <w:p w14:paraId="4F444189"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0892FB04" w14:textId="77777777" w:rsidR="00B72890" w:rsidRPr="00193E31" w:rsidRDefault="00B72890" w:rsidP="00193E31">
            <w:pPr>
              <w:pStyle w:val="Level2"/>
              <w:spacing w:after="0"/>
              <w:ind w:left="1166" w:hanging="1166"/>
              <w:rPr>
                <w:sz w:val="32"/>
                <w:szCs w:val="32"/>
              </w:rPr>
            </w:pPr>
          </w:p>
        </w:tc>
        <w:tc>
          <w:tcPr>
            <w:tcW w:w="1001" w:type="dxa"/>
            <w:tcBorders>
              <w:left w:val="single" w:sz="6" w:space="0" w:color="auto"/>
            </w:tcBorders>
          </w:tcPr>
          <w:p w14:paraId="09B47E8E" w14:textId="77777777" w:rsidR="00B72890" w:rsidRPr="00193E31" w:rsidRDefault="00B72890" w:rsidP="00193E31">
            <w:pPr>
              <w:pStyle w:val="Level2"/>
              <w:spacing w:after="0"/>
              <w:ind w:left="1166" w:hanging="1166"/>
              <w:rPr>
                <w:sz w:val="32"/>
                <w:szCs w:val="32"/>
              </w:rPr>
            </w:pPr>
          </w:p>
        </w:tc>
      </w:tr>
      <w:tr w:rsidR="00B72890" w:rsidRPr="00FB5173" w14:paraId="0D8EF008" w14:textId="77777777" w:rsidTr="00193E31">
        <w:trPr>
          <w:cantSplit/>
          <w:trHeight w:val="324"/>
        </w:trPr>
        <w:tc>
          <w:tcPr>
            <w:tcW w:w="6948" w:type="dxa"/>
          </w:tcPr>
          <w:p w14:paraId="643B0AEA" w14:textId="77777777" w:rsidR="00B72890" w:rsidRPr="00404F05" w:rsidRDefault="001B1506" w:rsidP="00193E31">
            <w:pPr>
              <w:pStyle w:val="Level2"/>
              <w:spacing w:after="0"/>
              <w:ind w:left="1166" w:hanging="1166"/>
            </w:pPr>
            <w:r w:rsidRPr="00404F05">
              <w:tab/>
              <w:t>.11</w:t>
            </w:r>
            <w:r w:rsidRPr="00404F05">
              <w:tab/>
              <w:t>Lease form as an attachment.</w:t>
            </w:r>
          </w:p>
        </w:tc>
        <w:tc>
          <w:tcPr>
            <w:tcW w:w="450" w:type="dxa"/>
            <w:tcBorders>
              <w:left w:val="single" w:sz="6" w:space="0" w:color="auto"/>
            </w:tcBorders>
          </w:tcPr>
          <w:p w14:paraId="481E8E58" w14:textId="77777777" w:rsidR="00B72890" w:rsidRPr="002A4C75" w:rsidRDefault="00B72890" w:rsidP="00193E31">
            <w:pPr>
              <w:pStyle w:val="Level2"/>
              <w:spacing w:after="0"/>
              <w:ind w:left="1166" w:hanging="1166"/>
              <w:rPr>
                <w:sz w:val="32"/>
                <w:szCs w:val="32"/>
              </w:rPr>
            </w:pPr>
          </w:p>
        </w:tc>
        <w:tc>
          <w:tcPr>
            <w:tcW w:w="450" w:type="dxa"/>
            <w:tcBorders>
              <w:left w:val="single" w:sz="6" w:space="0" w:color="auto"/>
            </w:tcBorders>
          </w:tcPr>
          <w:p w14:paraId="5747AFEB" w14:textId="77777777" w:rsidR="00B72890" w:rsidRPr="002A4C75" w:rsidRDefault="00B72890" w:rsidP="00193E31">
            <w:pPr>
              <w:pStyle w:val="Level2"/>
              <w:spacing w:after="0"/>
              <w:ind w:left="1166" w:hanging="1166"/>
              <w:rPr>
                <w:sz w:val="32"/>
                <w:szCs w:val="32"/>
              </w:rPr>
            </w:pPr>
          </w:p>
        </w:tc>
        <w:tc>
          <w:tcPr>
            <w:tcW w:w="450" w:type="dxa"/>
            <w:tcBorders>
              <w:left w:val="single" w:sz="6" w:space="0" w:color="auto"/>
            </w:tcBorders>
          </w:tcPr>
          <w:p w14:paraId="74349E10" w14:textId="77777777" w:rsidR="00B72890" w:rsidRPr="002A4C75" w:rsidRDefault="00B72890" w:rsidP="00193E31">
            <w:pPr>
              <w:pStyle w:val="Level2"/>
              <w:spacing w:after="0"/>
              <w:ind w:left="1166" w:hanging="1166"/>
              <w:rPr>
                <w:sz w:val="32"/>
                <w:szCs w:val="32"/>
              </w:rPr>
            </w:pPr>
          </w:p>
        </w:tc>
        <w:tc>
          <w:tcPr>
            <w:tcW w:w="1001" w:type="dxa"/>
            <w:tcBorders>
              <w:left w:val="single" w:sz="6" w:space="0" w:color="auto"/>
            </w:tcBorders>
          </w:tcPr>
          <w:p w14:paraId="21A0C7E5" w14:textId="77777777" w:rsidR="00B72890" w:rsidRPr="002A4C75" w:rsidRDefault="00B72890" w:rsidP="00193E31">
            <w:pPr>
              <w:pStyle w:val="Level2"/>
              <w:spacing w:after="0"/>
              <w:ind w:left="1166" w:hanging="1166"/>
              <w:rPr>
                <w:sz w:val="32"/>
                <w:szCs w:val="32"/>
              </w:rPr>
            </w:pPr>
          </w:p>
        </w:tc>
        <w:tc>
          <w:tcPr>
            <w:tcW w:w="1001" w:type="dxa"/>
            <w:tcBorders>
              <w:left w:val="single" w:sz="6" w:space="0" w:color="auto"/>
            </w:tcBorders>
          </w:tcPr>
          <w:p w14:paraId="30216E3D" w14:textId="77777777" w:rsidR="00B72890" w:rsidRPr="002A4C75" w:rsidRDefault="00B72890" w:rsidP="00193E31">
            <w:pPr>
              <w:pStyle w:val="Level2"/>
              <w:spacing w:after="0"/>
              <w:ind w:left="1166" w:hanging="1166"/>
              <w:rPr>
                <w:sz w:val="32"/>
                <w:szCs w:val="32"/>
              </w:rPr>
            </w:pPr>
          </w:p>
        </w:tc>
      </w:tr>
      <w:tr w:rsidR="00B72890" w:rsidRPr="00FB5173" w14:paraId="09B7647C" w14:textId="77777777">
        <w:trPr>
          <w:cantSplit/>
        </w:trPr>
        <w:tc>
          <w:tcPr>
            <w:tcW w:w="6948" w:type="dxa"/>
          </w:tcPr>
          <w:p w14:paraId="3F9B1C87" w14:textId="77777777" w:rsidR="00B72890" w:rsidRPr="00404F05" w:rsidRDefault="001B1506">
            <w:pPr>
              <w:pStyle w:val="Level2"/>
            </w:pPr>
            <w:r w:rsidRPr="00404F05">
              <w:tab/>
              <w:t>.12</w:t>
            </w:r>
            <w:r w:rsidRPr="00404F05">
              <w:tab/>
              <w:t xml:space="preserve">Plan of the premises as an attachment (avoid using </w:t>
            </w:r>
            <w:proofErr w:type="spellStart"/>
            <w:r w:rsidRPr="00404F05">
              <w:t>colours</w:t>
            </w:r>
            <w:proofErr w:type="spellEnd"/>
            <w:r w:rsidRPr="00404F05">
              <w:t xml:space="preserve"> since often photocopies and scans are black and white, and </w:t>
            </w:r>
            <w:proofErr w:type="spellStart"/>
            <w:r w:rsidRPr="00404F05">
              <w:t>colours</w:t>
            </w:r>
            <w:proofErr w:type="spellEnd"/>
            <w:r w:rsidRPr="00404F05">
              <w:t xml:space="preserve"> are lost).</w:t>
            </w:r>
          </w:p>
        </w:tc>
        <w:tc>
          <w:tcPr>
            <w:tcW w:w="450" w:type="dxa"/>
            <w:tcBorders>
              <w:left w:val="single" w:sz="6" w:space="0" w:color="auto"/>
            </w:tcBorders>
          </w:tcPr>
          <w:p w14:paraId="3CA234AB" w14:textId="77777777" w:rsidR="00B72890" w:rsidRPr="002A4C75" w:rsidRDefault="00B72890">
            <w:pPr>
              <w:pStyle w:val="Level2"/>
              <w:rPr>
                <w:sz w:val="32"/>
                <w:szCs w:val="32"/>
              </w:rPr>
            </w:pPr>
          </w:p>
        </w:tc>
        <w:tc>
          <w:tcPr>
            <w:tcW w:w="450" w:type="dxa"/>
            <w:tcBorders>
              <w:left w:val="single" w:sz="6" w:space="0" w:color="auto"/>
            </w:tcBorders>
          </w:tcPr>
          <w:p w14:paraId="35CB64DB" w14:textId="77777777" w:rsidR="00B72890" w:rsidRPr="002A4C75" w:rsidRDefault="00B72890">
            <w:pPr>
              <w:pStyle w:val="Level2"/>
              <w:rPr>
                <w:sz w:val="32"/>
                <w:szCs w:val="32"/>
              </w:rPr>
            </w:pPr>
          </w:p>
        </w:tc>
        <w:tc>
          <w:tcPr>
            <w:tcW w:w="450" w:type="dxa"/>
            <w:tcBorders>
              <w:left w:val="single" w:sz="6" w:space="0" w:color="auto"/>
            </w:tcBorders>
          </w:tcPr>
          <w:p w14:paraId="56E8EC24" w14:textId="77777777" w:rsidR="00B72890" w:rsidRPr="002A4C75" w:rsidRDefault="00B72890">
            <w:pPr>
              <w:pStyle w:val="Level2"/>
              <w:rPr>
                <w:sz w:val="32"/>
                <w:szCs w:val="32"/>
              </w:rPr>
            </w:pPr>
          </w:p>
        </w:tc>
        <w:tc>
          <w:tcPr>
            <w:tcW w:w="1001" w:type="dxa"/>
            <w:tcBorders>
              <w:left w:val="single" w:sz="6" w:space="0" w:color="auto"/>
            </w:tcBorders>
          </w:tcPr>
          <w:p w14:paraId="40B7FEF7" w14:textId="77777777" w:rsidR="00B72890" w:rsidRPr="002A4C75" w:rsidRDefault="00B72890">
            <w:pPr>
              <w:pStyle w:val="Level2"/>
              <w:rPr>
                <w:sz w:val="32"/>
                <w:szCs w:val="32"/>
              </w:rPr>
            </w:pPr>
          </w:p>
        </w:tc>
        <w:tc>
          <w:tcPr>
            <w:tcW w:w="1001" w:type="dxa"/>
            <w:tcBorders>
              <w:left w:val="single" w:sz="6" w:space="0" w:color="auto"/>
            </w:tcBorders>
          </w:tcPr>
          <w:p w14:paraId="6DBD140F" w14:textId="77777777" w:rsidR="00B72890" w:rsidRPr="002A4C75" w:rsidRDefault="00B72890">
            <w:pPr>
              <w:pStyle w:val="Level2"/>
              <w:rPr>
                <w:sz w:val="32"/>
                <w:szCs w:val="32"/>
              </w:rPr>
            </w:pPr>
          </w:p>
        </w:tc>
      </w:tr>
      <w:tr w:rsidR="00B72890" w:rsidRPr="00FB5173" w14:paraId="4A85451E" w14:textId="77777777">
        <w:trPr>
          <w:cantSplit/>
        </w:trPr>
        <w:tc>
          <w:tcPr>
            <w:tcW w:w="6948" w:type="dxa"/>
          </w:tcPr>
          <w:p w14:paraId="5B96A537" w14:textId="77777777" w:rsidR="00B72890" w:rsidRPr="00404F05" w:rsidRDefault="001B1506">
            <w:pPr>
              <w:pStyle w:val="Level2"/>
            </w:pPr>
            <w:r w:rsidRPr="00404F05">
              <w:tab/>
              <w:t>.13</w:t>
            </w:r>
            <w:r w:rsidRPr="00404F05">
              <w:tab/>
              <w:t>Rights or prohibitions on assignment.</w:t>
            </w:r>
          </w:p>
          <w:p w14:paraId="3D4D035A" w14:textId="77777777" w:rsidR="00B72890" w:rsidRPr="00404F05" w:rsidRDefault="001B1506">
            <w:pPr>
              <w:pStyle w:val="Level2"/>
            </w:pPr>
            <w:r w:rsidRPr="00404F05">
              <w:tab/>
              <w:t>.14</w:t>
            </w:r>
            <w:r w:rsidRPr="00404F05">
              <w:tab/>
              <w:t>Provision that confirms that the parties will keep the terms of the offer confidential.</w:t>
            </w:r>
          </w:p>
          <w:p w14:paraId="4E865B67" w14:textId="77777777" w:rsidR="00B72890" w:rsidRPr="00404F05" w:rsidRDefault="001B1506">
            <w:pPr>
              <w:pStyle w:val="Level2"/>
            </w:pPr>
            <w:r w:rsidRPr="00404F05">
              <w:tab/>
              <w:t>.15</w:t>
            </w:r>
            <w:r w:rsidRPr="00404F05">
              <w:tab/>
              <w:t>Binding effect of offer. Are the terms of the offer intended to be non-binding unless expressly stated otherwise (e.g., confidentiality clause) or is the offer intended to be binding subject to certain conditions?</w:t>
            </w:r>
          </w:p>
        </w:tc>
        <w:tc>
          <w:tcPr>
            <w:tcW w:w="450" w:type="dxa"/>
            <w:tcBorders>
              <w:left w:val="single" w:sz="6" w:space="0" w:color="auto"/>
            </w:tcBorders>
          </w:tcPr>
          <w:p w14:paraId="136D51BE" w14:textId="77777777" w:rsidR="00B72890" w:rsidRPr="002A4C75" w:rsidRDefault="00B72890">
            <w:pPr>
              <w:pStyle w:val="Level2"/>
              <w:rPr>
                <w:sz w:val="32"/>
                <w:szCs w:val="32"/>
              </w:rPr>
            </w:pPr>
          </w:p>
        </w:tc>
        <w:tc>
          <w:tcPr>
            <w:tcW w:w="450" w:type="dxa"/>
            <w:tcBorders>
              <w:left w:val="single" w:sz="6" w:space="0" w:color="auto"/>
            </w:tcBorders>
          </w:tcPr>
          <w:p w14:paraId="63E598E6" w14:textId="77777777" w:rsidR="00B72890" w:rsidRPr="002A4C75" w:rsidRDefault="00B72890">
            <w:pPr>
              <w:pStyle w:val="Level2"/>
              <w:rPr>
                <w:sz w:val="32"/>
                <w:szCs w:val="32"/>
              </w:rPr>
            </w:pPr>
          </w:p>
        </w:tc>
        <w:tc>
          <w:tcPr>
            <w:tcW w:w="450" w:type="dxa"/>
            <w:tcBorders>
              <w:left w:val="single" w:sz="6" w:space="0" w:color="auto"/>
            </w:tcBorders>
          </w:tcPr>
          <w:p w14:paraId="7A279634" w14:textId="77777777" w:rsidR="00B72890" w:rsidRPr="002A4C75" w:rsidRDefault="00B72890">
            <w:pPr>
              <w:pStyle w:val="Level2"/>
              <w:rPr>
                <w:sz w:val="32"/>
                <w:szCs w:val="32"/>
              </w:rPr>
            </w:pPr>
          </w:p>
        </w:tc>
        <w:tc>
          <w:tcPr>
            <w:tcW w:w="1001" w:type="dxa"/>
            <w:tcBorders>
              <w:left w:val="single" w:sz="6" w:space="0" w:color="auto"/>
            </w:tcBorders>
          </w:tcPr>
          <w:p w14:paraId="5BBA433F" w14:textId="77777777" w:rsidR="00B72890" w:rsidRPr="002A4C75" w:rsidRDefault="00B72890">
            <w:pPr>
              <w:pStyle w:val="Level2"/>
              <w:rPr>
                <w:sz w:val="32"/>
                <w:szCs w:val="32"/>
              </w:rPr>
            </w:pPr>
          </w:p>
        </w:tc>
        <w:tc>
          <w:tcPr>
            <w:tcW w:w="1001" w:type="dxa"/>
            <w:tcBorders>
              <w:left w:val="single" w:sz="6" w:space="0" w:color="auto"/>
            </w:tcBorders>
          </w:tcPr>
          <w:p w14:paraId="13B2B98E" w14:textId="77777777" w:rsidR="00B72890" w:rsidRPr="002A4C75" w:rsidRDefault="00B72890">
            <w:pPr>
              <w:pStyle w:val="Level2"/>
              <w:rPr>
                <w:sz w:val="32"/>
                <w:szCs w:val="32"/>
              </w:rPr>
            </w:pPr>
          </w:p>
        </w:tc>
      </w:tr>
      <w:tr w:rsidR="00B72890" w:rsidRPr="00FB5173" w14:paraId="1A288CDA" w14:textId="77777777" w:rsidTr="00193E31">
        <w:trPr>
          <w:cantSplit/>
          <w:trHeight w:val="351"/>
        </w:trPr>
        <w:tc>
          <w:tcPr>
            <w:tcW w:w="6948" w:type="dxa"/>
          </w:tcPr>
          <w:p w14:paraId="75B96324" w14:textId="77777777" w:rsidR="00B72890" w:rsidRPr="00404F05" w:rsidRDefault="001B1506" w:rsidP="00193E31">
            <w:pPr>
              <w:pStyle w:val="Level111G1"/>
              <w:spacing w:after="0"/>
              <w:ind w:left="907" w:hanging="907"/>
            </w:pPr>
            <w:r w:rsidRPr="00404F05">
              <w:tab/>
              <w:t>4.2</w:t>
            </w:r>
            <w:r w:rsidRPr="00404F05">
              <w:tab/>
              <w:t>Discuss the offer or agreement to lease with the client and revise as required.</w:t>
            </w:r>
          </w:p>
        </w:tc>
        <w:tc>
          <w:tcPr>
            <w:tcW w:w="450" w:type="dxa"/>
            <w:tcBorders>
              <w:left w:val="single" w:sz="6" w:space="0" w:color="auto"/>
            </w:tcBorders>
          </w:tcPr>
          <w:p w14:paraId="641D54B6" w14:textId="77777777" w:rsidR="00B72890" w:rsidRPr="002A4C75" w:rsidRDefault="00B72890" w:rsidP="00193E31">
            <w:pPr>
              <w:pStyle w:val="Level111G1"/>
              <w:spacing w:after="0"/>
              <w:rPr>
                <w:sz w:val="32"/>
                <w:szCs w:val="32"/>
              </w:rPr>
            </w:pPr>
          </w:p>
        </w:tc>
        <w:tc>
          <w:tcPr>
            <w:tcW w:w="450" w:type="dxa"/>
            <w:tcBorders>
              <w:left w:val="single" w:sz="6" w:space="0" w:color="auto"/>
            </w:tcBorders>
          </w:tcPr>
          <w:p w14:paraId="5447B50A" w14:textId="77777777" w:rsidR="00B72890" w:rsidRPr="002A4C75" w:rsidRDefault="00B72890" w:rsidP="00193E31">
            <w:pPr>
              <w:pStyle w:val="Level111G1"/>
              <w:spacing w:after="0"/>
              <w:rPr>
                <w:sz w:val="32"/>
                <w:szCs w:val="32"/>
              </w:rPr>
            </w:pPr>
          </w:p>
        </w:tc>
        <w:tc>
          <w:tcPr>
            <w:tcW w:w="450" w:type="dxa"/>
            <w:tcBorders>
              <w:left w:val="single" w:sz="6" w:space="0" w:color="auto"/>
            </w:tcBorders>
          </w:tcPr>
          <w:p w14:paraId="5DF92230" w14:textId="77777777" w:rsidR="00B72890" w:rsidRPr="002A4C75" w:rsidRDefault="00B72890" w:rsidP="00193E31">
            <w:pPr>
              <w:pStyle w:val="Level111G1"/>
              <w:spacing w:after="0"/>
              <w:rPr>
                <w:sz w:val="32"/>
                <w:szCs w:val="32"/>
              </w:rPr>
            </w:pPr>
          </w:p>
        </w:tc>
        <w:tc>
          <w:tcPr>
            <w:tcW w:w="1001" w:type="dxa"/>
            <w:tcBorders>
              <w:left w:val="single" w:sz="6" w:space="0" w:color="auto"/>
            </w:tcBorders>
          </w:tcPr>
          <w:p w14:paraId="39A1784F" w14:textId="77777777" w:rsidR="00B72890" w:rsidRPr="002A4C75" w:rsidRDefault="00B72890" w:rsidP="00193E31">
            <w:pPr>
              <w:pStyle w:val="Level111G1"/>
              <w:spacing w:after="0"/>
              <w:rPr>
                <w:sz w:val="32"/>
                <w:szCs w:val="32"/>
              </w:rPr>
            </w:pPr>
          </w:p>
        </w:tc>
        <w:tc>
          <w:tcPr>
            <w:tcW w:w="1001" w:type="dxa"/>
            <w:tcBorders>
              <w:left w:val="single" w:sz="6" w:space="0" w:color="auto"/>
            </w:tcBorders>
          </w:tcPr>
          <w:p w14:paraId="0291459F" w14:textId="77777777" w:rsidR="00B72890" w:rsidRPr="002A4C75" w:rsidRDefault="00B72890" w:rsidP="00193E31">
            <w:pPr>
              <w:pStyle w:val="Level111G1"/>
              <w:spacing w:after="0"/>
              <w:rPr>
                <w:sz w:val="32"/>
                <w:szCs w:val="32"/>
              </w:rPr>
            </w:pPr>
          </w:p>
        </w:tc>
      </w:tr>
      <w:tr w:rsidR="00B72890" w:rsidRPr="00FB5173" w14:paraId="07A2C108" w14:textId="77777777">
        <w:trPr>
          <w:cantSplit/>
        </w:trPr>
        <w:tc>
          <w:tcPr>
            <w:tcW w:w="6948" w:type="dxa"/>
          </w:tcPr>
          <w:p w14:paraId="20B0417E" w14:textId="77777777" w:rsidR="00B72890" w:rsidRPr="00404F05" w:rsidRDefault="001B1506">
            <w:pPr>
              <w:pStyle w:val="Level111G1"/>
            </w:pPr>
            <w:r w:rsidRPr="00404F05">
              <w:tab/>
              <w:t>4.3</w:t>
            </w:r>
            <w:r w:rsidRPr="00404F05">
              <w:tab/>
              <w:t>Discuss the offer or agreement to lease with the other party and revise as required, discussing revisions with the client.</w:t>
            </w:r>
          </w:p>
        </w:tc>
        <w:tc>
          <w:tcPr>
            <w:tcW w:w="450" w:type="dxa"/>
            <w:tcBorders>
              <w:left w:val="single" w:sz="6" w:space="0" w:color="auto"/>
            </w:tcBorders>
          </w:tcPr>
          <w:p w14:paraId="24CD5564" w14:textId="77777777" w:rsidR="00B72890" w:rsidRPr="002A4C75" w:rsidRDefault="00B72890">
            <w:pPr>
              <w:pStyle w:val="Level111G1"/>
              <w:rPr>
                <w:sz w:val="32"/>
                <w:szCs w:val="32"/>
              </w:rPr>
            </w:pPr>
          </w:p>
        </w:tc>
        <w:tc>
          <w:tcPr>
            <w:tcW w:w="450" w:type="dxa"/>
            <w:tcBorders>
              <w:left w:val="single" w:sz="6" w:space="0" w:color="auto"/>
            </w:tcBorders>
          </w:tcPr>
          <w:p w14:paraId="7451B644" w14:textId="77777777" w:rsidR="00B72890" w:rsidRPr="002A4C75" w:rsidRDefault="00B72890">
            <w:pPr>
              <w:pStyle w:val="Level111G1"/>
              <w:rPr>
                <w:sz w:val="32"/>
                <w:szCs w:val="32"/>
              </w:rPr>
            </w:pPr>
          </w:p>
        </w:tc>
        <w:tc>
          <w:tcPr>
            <w:tcW w:w="450" w:type="dxa"/>
            <w:tcBorders>
              <w:left w:val="single" w:sz="6" w:space="0" w:color="auto"/>
            </w:tcBorders>
          </w:tcPr>
          <w:p w14:paraId="7DCA3FD7" w14:textId="77777777" w:rsidR="00B72890" w:rsidRPr="002A4C75" w:rsidRDefault="00B72890">
            <w:pPr>
              <w:pStyle w:val="Level111G1"/>
              <w:rPr>
                <w:sz w:val="32"/>
                <w:szCs w:val="32"/>
              </w:rPr>
            </w:pPr>
          </w:p>
        </w:tc>
        <w:tc>
          <w:tcPr>
            <w:tcW w:w="1001" w:type="dxa"/>
            <w:tcBorders>
              <w:left w:val="single" w:sz="6" w:space="0" w:color="auto"/>
            </w:tcBorders>
          </w:tcPr>
          <w:p w14:paraId="53002619" w14:textId="77777777" w:rsidR="00B72890" w:rsidRPr="002A4C75" w:rsidRDefault="00B72890">
            <w:pPr>
              <w:pStyle w:val="Level111G1"/>
              <w:rPr>
                <w:sz w:val="32"/>
                <w:szCs w:val="32"/>
              </w:rPr>
            </w:pPr>
          </w:p>
        </w:tc>
        <w:tc>
          <w:tcPr>
            <w:tcW w:w="1001" w:type="dxa"/>
            <w:tcBorders>
              <w:left w:val="single" w:sz="6" w:space="0" w:color="auto"/>
            </w:tcBorders>
          </w:tcPr>
          <w:p w14:paraId="47C264D3" w14:textId="77777777" w:rsidR="00B72890" w:rsidRPr="002A4C75" w:rsidRDefault="00B72890">
            <w:pPr>
              <w:pStyle w:val="Level111G1"/>
              <w:rPr>
                <w:sz w:val="32"/>
                <w:szCs w:val="32"/>
              </w:rPr>
            </w:pPr>
          </w:p>
        </w:tc>
      </w:tr>
      <w:tr w:rsidR="00B72890" w:rsidRPr="00FB5173" w14:paraId="48077C82" w14:textId="77777777" w:rsidTr="008D4DC4">
        <w:trPr>
          <w:cantSplit/>
          <w:trHeight w:val="333"/>
        </w:trPr>
        <w:tc>
          <w:tcPr>
            <w:tcW w:w="6948" w:type="dxa"/>
          </w:tcPr>
          <w:p w14:paraId="09D4033C" w14:textId="77777777" w:rsidR="00B72890" w:rsidRPr="00404F05" w:rsidRDefault="001B1506" w:rsidP="008D4DC4">
            <w:pPr>
              <w:pStyle w:val="Level111G1"/>
              <w:spacing w:before="0" w:after="0"/>
              <w:ind w:left="907" w:hanging="907"/>
            </w:pPr>
            <w:r w:rsidRPr="00404F05">
              <w:tab/>
              <w:t>4.4</w:t>
            </w:r>
            <w:r w:rsidRPr="00404F05">
              <w:tab/>
              <w:t>Have the offer or agreement to lease executed by both parties.</w:t>
            </w:r>
          </w:p>
        </w:tc>
        <w:tc>
          <w:tcPr>
            <w:tcW w:w="450" w:type="dxa"/>
            <w:tcBorders>
              <w:left w:val="single" w:sz="6" w:space="0" w:color="auto"/>
            </w:tcBorders>
          </w:tcPr>
          <w:p w14:paraId="258CD889"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275BBB0A"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05233C1D"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33C5D0F8"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46EE88EB" w14:textId="77777777" w:rsidR="00B72890" w:rsidRPr="002A4C75" w:rsidRDefault="00B72890" w:rsidP="008D4DC4">
            <w:pPr>
              <w:pStyle w:val="Level111G1"/>
              <w:spacing w:before="0" w:after="0"/>
              <w:ind w:left="907" w:hanging="907"/>
              <w:rPr>
                <w:sz w:val="32"/>
                <w:szCs w:val="32"/>
              </w:rPr>
            </w:pPr>
          </w:p>
        </w:tc>
      </w:tr>
      <w:tr w:rsidR="00B72890" w:rsidRPr="00FB5173" w14:paraId="38A68174" w14:textId="77777777">
        <w:trPr>
          <w:cantSplit/>
        </w:trPr>
        <w:tc>
          <w:tcPr>
            <w:tcW w:w="6948" w:type="dxa"/>
          </w:tcPr>
          <w:p w14:paraId="62405899" w14:textId="77777777" w:rsidR="00B72890" w:rsidRPr="00404F05" w:rsidRDefault="001B1506">
            <w:pPr>
              <w:pStyle w:val="NumberedheadingGH"/>
              <w:jc w:val="both"/>
            </w:pPr>
            <w:r w:rsidRPr="00404F05">
              <w:t>5.</w:t>
            </w:r>
            <w:r w:rsidRPr="00404F05">
              <w:tab/>
              <w:t>PREPARing THE LEASE</w:t>
            </w:r>
          </w:p>
        </w:tc>
        <w:tc>
          <w:tcPr>
            <w:tcW w:w="450" w:type="dxa"/>
            <w:tcBorders>
              <w:left w:val="single" w:sz="6" w:space="0" w:color="auto"/>
            </w:tcBorders>
          </w:tcPr>
          <w:p w14:paraId="5993C976"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15A49294"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65980205"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139253E2"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6FA8C550" w14:textId="77777777" w:rsidR="00B72890" w:rsidRPr="002A4C75" w:rsidRDefault="00B72890">
            <w:pPr>
              <w:pStyle w:val="unformattedtext"/>
              <w:spacing w:before="60"/>
              <w:rPr>
                <w:sz w:val="32"/>
                <w:szCs w:val="32"/>
              </w:rPr>
            </w:pPr>
          </w:p>
        </w:tc>
      </w:tr>
      <w:tr w:rsidR="00B72890" w:rsidRPr="00FB5173" w14:paraId="48085322" w14:textId="77777777">
        <w:trPr>
          <w:cantSplit/>
          <w:trHeight w:val="828"/>
        </w:trPr>
        <w:tc>
          <w:tcPr>
            <w:tcW w:w="6948" w:type="dxa"/>
          </w:tcPr>
          <w:p w14:paraId="66C10E7D" w14:textId="77777777" w:rsidR="00B72890" w:rsidRPr="00404F05" w:rsidRDefault="001B1506">
            <w:pPr>
              <w:pStyle w:val="Level111G1"/>
            </w:pPr>
            <w:r w:rsidRPr="00404F05">
              <w:tab/>
              <w:t>5.1</w:t>
            </w:r>
            <w:r w:rsidRPr="00404F05">
              <w:tab/>
              <w:t xml:space="preserve">Prepare an outline of the lease, indicating the clauses from your precedent file that will be included (see the </w:t>
            </w:r>
            <w:r w:rsidRPr="00404F05">
              <w:rPr>
                <w:smallCaps/>
              </w:rPr>
              <w:t>commercial lease drafting</w:t>
            </w:r>
            <w:r w:rsidRPr="00404F05">
              <w:t xml:space="preserve"> (B-11) checklist).</w:t>
            </w:r>
          </w:p>
        </w:tc>
        <w:tc>
          <w:tcPr>
            <w:tcW w:w="450" w:type="dxa"/>
            <w:tcBorders>
              <w:left w:val="single" w:sz="6" w:space="0" w:color="auto"/>
            </w:tcBorders>
          </w:tcPr>
          <w:p w14:paraId="1755B8F7" w14:textId="77777777" w:rsidR="00B72890" w:rsidRPr="002A4C75" w:rsidRDefault="00B72890">
            <w:pPr>
              <w:pStyle w:val="Level111G1"/>
              <w:rPr>
                <w:sz w:val="32"/>
                <w:szCs w:val="32"/>
              </w:rPr>
            </w:pPr>
          </w:p>
        </w:tc>
        <w:tc>
          <w:tcPr>
            <w:tcW w:w="450" w:type="dxa"/>
            <w:tcBorders>
              <w:left w:val="single" w:sz="6" w:space="0" w:color="auto"/>
            </w:tcBorders>
          </w:tcPr>
          <w:p w14:paraId="4EA59041" w14:textId="77777777" w:rsidR="00B72890" w:rsidRPr="002A4C75" w:rsidRDefault="00B72890">
            <w:pPr>
              <w:pStyle w:val="Level111G1"/>
              <w:rPr>
                <w:sz w:val="32"/>
                <w:szCs w:val="32"/>
              </w:rPr>
            </w:pPr>
          </w:p>
        </w:tc>
        <w:tc>
          <w:tcPr>
            <w:tcW w:w="450" w:type="dxa"/>
            <w:tcBorders>
              <w:left w:val="single" w:sz="6" w:space="0" w:color="auto"/>
            </w:tcBorders>
          </w:tcPr>
          <w:p w14:paraId="409BF41E" w14:textId="77777777" w:rsidR="00B72890" w:rsidRPr="002A4C75" w:rsidRDefault="00B72890">
            <w:pPr>
              <w:pStyle w:val="Level111G1"/>
              <w:rPr>
                <w:sz w:val="32"/>
                <w:szCs w:val="32"/>
              </w:rPr>
            </w:pPr>
          </w:p>
        </w:tc>
        <w:tc>
          <w:tcPr>
            <w:tcW w:w="1001" w:type="dxa"/>
            <w:tcBorders>
              <w:left w:val="single" w:sz="6" w:space="0" w:color="auto"/>
            </w:tcBorders>
          </w:tcPr>
          <w:p w14:paraId="39F0E8F5" w14:textId="77777777" w:rsidR="00B72890" w:rsidRPr="002A4C75" w:rsidRDefault="00B72890">
            <w:pPr>
              <w:pStyle w:val="Level111G1"/>
              <w:rPr>
                <w:sz w:val="32"/>
                <w:szCs w:val="32"/>
              </w:rPr>
            </w:pPr>
          </w:p>
        </w:tc>
        <w:tc>
          <w:tcPr>
            <w:tcW w:w="1001" w:type="dxa"/>
            <w:tcBorders>
              <w:left w:val="single" w:sz="6" w:space="0" w:color="auto"/>
            </w:tcBorders>
          </w:tcPr>
          <w:p w14:paraId="6A25D279" w14:textId="77777777" w:rsidR="00B72890" w:rsidRPr="002A4C75" w:rsidRDefault="00B72890">
            <w:pPr>
              <w:pStyle w:val="Level111G1"/>
              <w:rPr>
                <w:sz w:val="32"/>
                <w:szCs w:val="32"/>
              </w:rPr>
            </w:pPr>
          </w:p>
        </w:tc>
      </w:tr>
      <w:tr w:rsidR="00B72890" w:rsidRPr="00FB5173" w14:paraId="079245B5" w14:textId="77777777" w:rsidTr="00193E31">
        <w:trPr>
          <w:cantSplit/>
          <w:trHeight w:val="360"/>
        </w:trPr>
        <w:tc>
          <w:tcPr>
            <w:tcW w:w="6948" w:type="dxa"/>
          </w:tcPr>
          <w:p w14:paraId="026A1DC4" w14:textId="77777777" w:rsidR="00B72890" w:rsidRPr="00404F05" w:rsidRDefault="001B1506" w:rsidP="008D4DC4">
            <w:pPr>
              <w:pStyle w:val="Level111G1"/>
              <w:spacing w:before="0" w:after="0"/>
              <w:ind w:left="907" w:hanging="907"/>
            </w:pPr>
            <w:r w:rsidRPr="00404F05">
              <w:tab/>
              <w:t>5.2</w:t>
            </w:r>
            <w:r w:rsidRPr="00404F05">
              <w:tab/>
              <w:t>Prepare the first draft.</w:t>
            </w:r>
          </w:p>
        </w:tc>
        <w:tc>
          <w:tcPr>
            <w:tcW w:w="450" w:type="dxa"/>
            <w:tcBorders>
              <w:left w:val="single" w:sz="6" w:space="0" w:color="auto"/>
            </w:tcBorders>
          </w:tcPr>
          <w:p w14:paraId="3C049696"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1711BCAF"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1E8034EE"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377B6082"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13323119" w14:textId="77777777" w:rsidR="00B72890" w:rsidRPr="002A4C75" w:rsidRDefault="00B72890" w:rsidP="008D4DC4">
            <w:pPr>
              <w:pStyle w:val="Level111G1"/>
              <w:spacing w:before="0" w:after="0"/>
              <w:ind w:left="907" w:hanging="907"/>
              <w:rPr>
                <w:sz w:val="32"/>
                <w:szCs w:val="32"/>
              </w:rPr>
            </w:pPr>
          </w:p>
        </w:tc>
      </w:tr>
      <w:tr w:rsidR="00B72890" w:rsidRPr="00FB5173" w14:paraId="5411E8E8" w14:textId="77777777">
        <w:trPr>
          <w:cantSplit/>
          <w:trHeight w:val="927"/>
        </w:trPr>
        <w:tc>
          <w:tcPr>
            <w:tcW w:w="6948" w:type="dxa"/>
          </w:tcPr>
          <w:p w14:paraId="1188D805" w14:textId="77777777" w:rsidR="00B72890" w:rsidRPr="00404F05" w:rsidRDefault="001B1506">
            <w:pPr>
              <w:pStyle w:val="Level111G1"/>
            </w:pPr>
            <w:r w:rsidRPr="00404F05">
              <w:tab/>
              <w:t>5.3</w:t>
            </w:r>
            <w:r w:rsidRPr="00404F05">
              <w:tab/>
              <w:t>Review the first draft, checking each segment to ensure that it achieves the client’s objectives, and checking the document as a whole to ensure that it is internally consistent. Make any necessary corrections and prepare a second draft.</w:t>
            </w:r>
          </w:p>
        </w:tc>
        <w:tc>
          <w:tcPr>
            <w:tcW w:w="450" w:type="dxa"/>
            <w:tcBorders>
              <w:left w:val="single" w:sz="6" w:space="0" w:color="auto"/>
            </w:tcBorders>
          </w:tcPr>
          <w:p w14:paraId="49D3F22F" w14:textId="77777777" w:rsidR="00B72890" w:rsidRPr="002A4C75" w:rsidRDefault="00B72890">
            <w:pPr>
              <w:pStyle w:val="Level111G1"/>
              <w:rPr>
                <w:sz w:val="32"/>
                <w:szCs w:val="32"/>
              </w:rPr>
            </w:pPr>
          </w:p>
        </w:tc>
        <w:tc>
          <w:tcPr>
            <w:tcW w:w="450" w:type="dxa"/>
            <w:tcBorders>
              <w:left w:val="single" w:sz="6" w:space="0" w:color="auto"/>
            </w:tcBorders>
          </w:tcPr>
          <w:p w14:paraId="62FEE205" w14:textId="77777777" w:rsidR="00B72890" w:rsidRPr="002A4C75" w:rsidRDefault="00B72890">
            <w:pPr>
              <w:pStyle w:val="Level111G1"/>
              <w:rPr>
                <w:sz w:val="32"/>
                <w:szCs w:val="32"/>
              </w:rPr>
            </w:pPr>
          </w:p>
        </w:tc>
        <w:tc>
          <w:tcPr>
            <w:tcW w:w="450" w:type="dxa"/>
            <w:tcBorders>
              <w:left w:val="single" w:sz="6" w:space="0" w:color="auto"/>
            </w:tcBorders>
          </w:tcPr>
          <w:p w14:paraId="6731B7B3" w14:textId="77777777" w:rsidR="00B72890" w:rsidRPr="002A4C75" w:rsidRDefault="00B72890">
            <w:pPr>
              <w:pStyle w:val="Level111G1"/>
              <w:rPr>
                <w:sz w:val="32"/>
                <w:szCs w:val="32"/>
              </w:rPr>
            </w:pPr>
          </w:p>
        </w:tc>
        <w:tc>
          <w:tcPr>
            <w:tcW w:w="1001" w:type="dxa"/>
            <w:tcBorders>
              <w:left w:val="single" w:sz="6" w:space="0" w:color="auto"/>
            </w:tcBorders>
          </w:tcPr>
          <w:p w14:paraId="79613EB7" w14:textId="77777777" w:rsidR="00B72890" w:rsidRPr="002A4C75" w:rsidRDefault="00B72890">
            <w:pPr>
              <w:pStyle w:val="Level111G1"/>
              <w:rPr>
                <w:sz w:val="32"/>
                <w:szCs w:val="32"/>
              </w:rPr>
            </w:pPr>
          </w:p>
        </w:tc>
        <w:tc>
          <w:tcPr>
            <w:tcW w:w="1001" w:type="dxa"/>
            <w:tcBorders>
              <w:left w:val="single" w:sz="6" w:space="0" w:color="auto"/>
            </w:tcBorders>
          </w:tcPr>
          <w:p w14:paraId="22AFF9E1" w14:textId="77777777" w:rsidR="00B72890" w:rsidRPr="002A4C75" w:rsidRDefault="00B72890">
            <w:pPr>
              <w:pStyle w:val="Level111G1"/>
              <w:rPr>
                <w:sz w:val="32"/>
                <w:szCs w:val="32"/>
              </w:rPr>
            </w:pPr>
          </w:p>
        </w:tc>
      </w:tr>
      <w:tr w:rsidR="00B72890" w:rsidRPr="00FB5173" w14:paraId="3132E613" w14:textId="77777777">
        <w:trPr>
          <w:cantSplit/>
          <w:trHeight w:val="774"/>
        </w:trPr>
        <w:tc>
          <w:tcPr>
            <w:tcW w:w="6948" w:type="dxa"/>
          </w:tcPr>
          <w:p w14:paraId="4E20E0A6" w14:textId="77777777" w:rsidR="00B72890" w:rsidRPr="00404F05" w:rsidRDefault="001B1506">
            <w:pPr>
              <w:pStyle w:val="Level111G1"/>
              <w:ind w:left="907" w:hanging="907"/>
            </w:pPr>
            <w:r w:rsidRPr="00404F05">
              <w:tab/>
              <w:t>5.4</w:t>
            </w:r>
            <w:r w:rsidRPr="00404F05">
              <w:tab/>
              <w:t>Go over the second draft with the client, or send it to the client with a request that the client review it and note any changes or questions. Discuss it with the client.</w:t>
            </w:r>
          </w:p>
        </w:tc>
        <w:tc>
          <w:tcPr>
            <w:tcW w:w="450" w:type="dxa"/>
            <w:tcBorders>
              <w:left w:val="single" w:sz="6" w:space="0" w:color="auto"/>
            </w:tcBorders>
          </w:tcPr>
          <w:p w14:paraId="5E572E5F" w14:textId="77777777" w:rsidR="00B72890" w:rsidRPr="002A4C75" w:rsidRDefault="00B72890">
            <w:pPr>
              <w:pStyle w:val="Level111G1"/>
              <w:rPr>
                <w:sz w:val="32"/>
                <w:szCs w:val="32"/>
              </w:rPr>
            </w:pPr>
          </w:p>
        </w:tc>
        <w:tc>
          <w:tcPr>
            <w:tcW w:w="450" w:type="dxa"/>
            <w:tcBorders>
              <w:left w:val="single" w:sz="6" w:space="0" w:color="auto"/>
            </w:tcBorders>
          </w:tcPr>
          <w:p w14:paraId="519AEC32" w14:textId="77777777" w:rsidR="00B72890" w:rsidRPr="002A4C75" w:rsidRDefault="00B72890">
            <w:pPr>
              <w:pStyle w:val="Level111G1"/>
              <w:rPr>
                <w:sz w:val="32"/>
                <w:szCs w:val="32"/>
              </w:rPr>
            </w:pPr>
          </w:p>
        </w:tc>
        <w:tc>
          <w:tcPr>
            <w:tcW w:w="450" w:type="dxa"/>
            <w:tcBorders>
              <w:left w:val="single" w:sz="6" w:space="0" w:color="auto"/>
            </w:tcBorders>
          </w:tcPr>
          <w:p w14:paraId="3F641367" w14:textId="77777777" w:rsidR="00B72890" w:rsidRPr="002A4C75" w:rsidRDefault="00B72890">
            <w:pPr>
              <w:pStyle w:val="Level111G1"/>
              <w:rPr>
                <w:sz w:val="32"/>
                <w:szCs w:val="32"/>
              </w:rPr>
            </w:pPr>
          </w:p>
        </w:tc>
        <w:tc>
          <w:tcPr>
            <w:tcW w:w="1001" w:type="dxa"/>
            <w:tcBorders>
              <w:left w:val="single" w:sz="6" w:space="0" w:color="auto"/>
            </w:tcBorders>
          </w:tcPr>
          <w:p w14:paraId="7D493D11" w14:textId="77777777" w:rsidR="00B72890" w:rsidRPr="002A4C75" w:rsidRDefault="00B72890">
            <w:pPr>
              <w:pStyle w:val="Level111G1"/>
              <w:rPr>
                <w:sz w:val="32"/>
                <w:szCs w:val="32"/>
              </w:rPr>
            </w:pPr>
          </w:p>
        </w:tc>
        <w:tc>
          <w:tcPr>
            <w:tcW w:w="1001" w:type="dxa"/>
            <w:tcBorders>
              <w:left w:val="single" w:sz="6" w:space="0" w:color="auto"/>
            </w:tcBorders>
          </w:tcPr>
          <w:p w14:paraId="7DB8AF88" w14:textId="77777777" w:rsidR="00B72890" w:rsidRPr="002A4C75" w:rsidRDefault="00B72890">
            <w:pPr>
              <w:pStyle w:val="Level111G1"/>
              <w:rPr>
                <w:sz w:val="32"/>
                <w:szCs w:val="32"/>
              </w:rPr>
            </w:pPr>
          </w:p>
        </w:tc>
      </w:tr>
      <w:tr w:rsidR="00B72890" w:rsidRPr="00FB5173" w14:paraId="5C5AEB0E" w14:textId="77777777">
        <w:trPr>
          <w:cantSplit/>
          <w:trHeight w:val="612"/>
        </w:trPr>
        <w:tc>
          <w:tcPr>
            <w:tcW w:w="6948" w:type="dxa"/>
          </w:tcPr>
          <w:p w14:paraId="08B12F83" w14:textId="77777777" w:rsidR="00B72890" w:rsidRPr="00404F05" w:rsidRDefault="001B1506">
            <w:pPr>
              <w:pStyle w:val="Level111G1"/>
            </w:pPr>
            <w:r w:rsidRPr="00404F05">
              <w:tab/>
              <w:t>5.5</w:t>
            </w:r>
            <w:r w:rsidRPr="00404F05">
              <w:tab/>
              <w:t>Make any changes required to the second draft and send copies to the other party(</w:t>
            </w:r>
            <w:proofErr w:type="spellStart"/>
            <w:r w:rsidRPr="00404F05">
              <w:t>ies</w:t>
            </w:r>
            <w:proofErr w:type="spellEnd"/>
            <w:r w:rsidRPr="00404F05">
              <w:t>) or their lawyer(s) for comment. Review any alterations with the client.</w:t>
            </w:r>
          </w:p>
        </w:tc>
        <w:tc>
          <w:tcPr>
            <w:tcW w:w="450" w:type="dxa"/>
            <w:tcBorders>
              <w:left w:val="single" w:sz="6" w:space="0" w:color="auto"/>
            </w:tcBorders>
          </w:tcPr>
          <w:p w14:paraId="10786872" w14:textId="77777777" w:rsidR="00B72890" w:rsidRPr="002A4C75" w:rsidRDefault="00B72890">
            <w:pPr>
              <w:pStyle w:val="Level111G1"/>
              <w:rPr>
                <w:sz w:val="32"/>
                <w:szCs w:val="32"/>
              </w:rPr>
            </w:pPr>
          </w:p>
        </w:tc>
        <w:tc>
          <w:tcPr>
            <w:tcW w:w="450" w:type="dxa"/>
            <w:tcBorders>
              <w:left w:val="single" w:sz="6" w:space="0" w:color="auto"/>
            </w:tcBorders>
          </w:tcPr>
          <w:p w14:paraId="764B8533" w14:textId="77777777" w:rsidR="00B72890" w:rsidRPr="002A4C75" w:rsidRDefault="00B72890">
            <w:pPr>
              <w:pStyle w:val="Level111G1"/>
              <w:rPr>
                <w:sz w:val="32"/>
                <w:szCs w:val="32"/>
              </w:rPr>
            </w:pPr>
          </w:p>
        </w:tc>
        <w:tc>
          <w:tcPr>
            <w:tcW w:w="450" w:type="dxa"/>
            <w:tcBorders>
              <w:left w:val="single" w:sz="6" w:space="0" w:color="auto"/>
            </w:tcBorders>
          </w:tcPr>
          <w:p w14:paraId="4A41E0AD" w14:textId="77777777" w:rsidR="00B72890" w:rsidRPr="002A4C75" w:rsidRDefault="00B72890">
            <w:pPr>
              <w:pStyle w:val="Level111G1"/>
              <w:rPr>
                <w:sz w:val="32"/>
                <w:szCs w:val="32"/>
              </w:rPr>
            </w:pPr>
          </w:p>
        </w:tc>
        <w:tc>
          <w:tcPr>
            <w:tcW w:w="1001" w:type="dxa"/>
            <w:tcBorders>
              <w:left w:val="single" w:sz="6" w:space="0" w:color="auto"/>
            </w:tcBorders>
          </w:tcPr>
          <w:p w14:paraId="5C551D18" w14:textId="77777777" w:rsidR="00B72890" w:rsidRPr="002A4C75" w:rsidRDefault="00B72890">
            <w:pPr>
              <w:pStyle w:val="Level111G1"/>
              <w:rPr>
                <w:sz w:val="32"/>
                <w:szCs w:val="32"/>
              </w:rPr>
            </w:pPr>
          </w:p>
        </w:tc>
        <w:tc>
          <w:tcPr>
            <w:tcW w:w="1001" w:type="dxa"/>
            <w:tcBorders>
              <w:left w:val="single" w:sz="6" w:space="0" w:color="auto"/>
            </w:tcBorders>
          </w:tcPr>
          <w:p w14:paraId="484A102A" w14:textId="77777777" w:rsidR="00B72890" w:rsidRPr="002A4C75" w:rsidRDefault="00B72890">
            <w:pPr>
              <w:pStyle w:val="Level111G1"/>
              <w:rPr>
                <w:sz w:val="32"/>
                <w:szCs w:val="32"/>
              </w:rPr>
            </w:pPr>
          </w:p>
        </w:tc>
      </w:tr>
      <w:tr w:rsidR="00B72890" w:rsidRPr="00FB5173" w14:paraId="42547BC3" w14:textId="77777777" w:rsidTr="00193E31">
        <w:trPr>
          <w:cantSplit/>
          <w:trHeight w:val="423"/>
        </w:trPr>
        <w:tc>
          <w:tcPr>
            <w:tcW w:w="6948" w:type="dxa"/>
          </w:tcPr>
          <w:p w14:paraId="26F86316" w14:textId="77777777" w:rsidR="00B72890" w:rsidRPr="00404F05" w:rsidRDefault="001B1506" w:rsidP="00193E31">
            <w:pPr>
              <w:pStyle w:val="Level111G1"/>
              <w:spacing w:after="0"/>
              <w:ind w:left="907" w:hanging="907"/>
            </w:pPr>
            <w:r w:rsidRPr="00404F05">
              <w:tab/>
              <w:t>5.6</w:t>
            </w:r>
            <w:r w:rsidRPr="00404F05">
              <w:tab/>
              <w:t>Prepare the final lease, and arrange for signing.</w:t>
            </w:r>
          </w:p>
        </w:tc>
        <w:tc>
          <w:tcPr>
            <w:tcW w:w="450" w:type="dxa"/>
            <w:tcBorders>
              <w:left w:val="single" w:sz="6" w:space="0" w:color="auto"/>
            </w:tcBorders>
          </w:tcPr>
          <w:p w14:paraId="21FE0528" w14:textId="77777777" w:rsidR="00B72890" w:rsidRPr="002A4C75" w:rsidRDefault="00B72890" w:rsidP="00193E31">
            <w:pPr>
              <w:pStyle w:val="Level111G1"/>
              <w:spacing w:after="0"/>
              <w:ind w:left="907" w:hanging="907"/>
              <w:rPr>
                <w:sz w:val="32"/>
                <w:szCs w:val="32"/>
              </w:rPr>
            </w:pPr>
          </w:p>
        </w:tc>
        <w:tc>
          <w:tcPr>
            <w:tcW w:w="450" w:type="dxa"/>
            <w:tcBorders>
              <w:left w:val="single" w:sz="6" w:space="0" w:color="auto"/>
            </w:tcBorders>
          </w:tcPr>
          <w:p w14:paraId="291891EB" w14:textId="77777777" w:rsidR="00B72890" w:rsidRPr="002A4C75" w:rsidRDefault="00B72890" w:rsidP="00193E31">
            <w:pPr>
              <w:pStyle w:val="Level111G1"/>
              <w:spacing w:after="0"/>
              <w:ind w:left="907" w:hanging="907"/>
              <w:rPr>
                <w:sz w:val="32"/>
                <w:szCs w:val="32"/>
              </w:rPr>
            </w:pPr>
          </w:p>
        </w:tc>
        <w:tc>
          <w:tcPr>
            <w:tcW w:w="450" w:type="dxa"/>
            <w:tcBorders>
              <w:left w:val="single" w:sz="6" w:space="0" w:color="auto"/>
            </w:tcBorders>
          </w:tcPr>
          <w:p w14:paraId="2EA2BBAA" w14:textId="77777777" w:rsidR="00B72890" w:rsidRPr="002A4C75" w:rsidRDefault="00B72890" w:rsidP="00193E31">
            <w:pPr>
              <w:pStyle w:val="Level111G1"/>
              <w:spacing w:after="0"/>
              <w:ind w:left="907" w:hanging="907"/>
              <w:rPr>
                <w:sz w:val="32"/>
                <w:szCs w:val="32"/>
              </w:rPr>
            </w:pPr>
          </w:p>
        </w:tc>
        <w:tc>
          <w:tcPr>
            <w:tcW w:w="1001" w:type="dxa"/>
            <w:tcBorders>
              <w:left w:val="single" w:sz="6" w:space="0" w:color="auto"/>
            </w:tcBorders>
          </w:tcPr>
          <w:p w14:paraId="340633B0" w14:textId="77777777" w:rsidR="00B72890" w:rsidRPr="002A4C75" w:rsidRDefault="00B72890" w:rsidP="00193E31">
            <w:pPr>
              <w:pStyle w:val="Level111G1"/>
              <w:spacing w:after="0"/>
              <w:ind w:left="907" w:hanging="907"/>
              <w:rPr>
                <w:sz w:val="32"/>
                <w:szCs w:val="32"/>
              </w:rPr>
            </w:pPr>
          </w:p>
        </w:tc>
        <w:tc>
          <w:tcPr>
            <w:tcW w:w="1001" w:type="dxa"/>
            <w:tcBorders>
              <w:left w:val="single" w:sz="6" w:space="0" w:color="auto"/>
            </w:tcBorders>
          </w:tcPr>
          <w:p w14:paraId="6CF9B2FD" w14:textId="77777777" w:rsidR="00B72890" w:rsidRPr="002A4C75" w:rsidRDefault="00B72890" w:rsidP="00193E31">
            <w:pPr>
              <w:pStyle w:val="Level111G1"/>
              <w:spacing w:after="0"/>
              <w:ind w:left="907" w:hanging="907"/>
              <w:rPr>
                <w:sz w:val="32"/>
                <w:szCs w:val="32"/>
              </w:rPr>
            </w:pPr>
          </w:p>
        </w:tc>
      </w:tr>
      <w:tr w:rsidR="00B72890" w:rsidRPr="00FB5173" w14:paraId="46A48F4A" w14:textId="77777777">
        <w:trPr>
          <w:cantSplit/>
        </w:trPr>
        <w:tc>
          <w:tcPr>
            <w:tcW w:w="6948" w:type="dxa"/>
          </w:tcPr>
          <w:p w14:paraId="3E1CB863" w14:textId="77777777" w:rsidR="00B72890" w:rsidRPr="00404F05" w:rsidRDefault="001B1506">
            <w:pPr>
              <w:pStyle w:val="NumberedheadingGH"/>
              <w:jc w:val="both"/>
            </w:pPr>
            <w:r w:rsidRPr="00404F05">
              <w:t>6.</w:t>
            </w:r>
            <w:r w:rsidRPr="00404F05">
              <w:tab/>
              <w:t>CONCLUDING THE AGREEMENT</w:t>
            </w:r>
          </w:p>
        </w:tc>
        <w:tc>
          <w:tcPr>
            <w:tcW w:w="450" w:type="dxa"/>
            <w:tcBorders>
              <w:left w:val="single" w:sz="6" w:space="0" w:color="auto"/>
            </w:tcBorders>
          </w:tcPr>
          <w:p w14:paraId="6EDA91EB"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521CCA0C"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35801AEE"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0E95FDDF"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2B390C96" w14:textId="77777777" w:rsidR="00B72890" w:rsidRPr="002A4C75" w:rsidRDefault="00B72890">
            <w:pPr>
              <w:pStyle w:val="unformattedtext"/>
              <w:spacing w:before="60"/>
              <w:rPr>
                <w:sz w:val="32"/>
                <w:szCs w:val="32"/>
              </w:rPr>
            </w:pPr>
          </w:p>
        </w:tc>
      </w:tr>
      <w:tr w:rsidR="00B72890" w:rsidRPr="00FB5173" w14:paraId="715BFC4A" w14:textId="77777777" w:rsidTr="00193E31">
        <w:trPr>
          <w:cantSplit/>
          <w:trHeight w:val="342"/>
        </w:trPr>
        <w:tc>
          <w:tcPr>
            <w:tcW w:w="6948" w:type="dxa"/>
          </w:tcPr>
          <w:p w14:paraId="3219D796" w14:textId="77777777" w:rsidR="00B72890" w:rsidRPr="00404F05" w:rsidRDefault="001B1506" w:rsidP="008D4DC4">
            <w:pPr>
              <w:pStyle w:val="Level111G1"/>
              <w:spacing w:before="0" w:after="0"/>
              <w:ind w:left="907" w:hanging="907"/>
            </w:pPr>
            <w:r w:rsidRPr="00404F05">
              <w:tab/>
              <w:t>6.1</w:t>
            </w:r>
            <w:r w:rsidRPr="00404F05">
              <w:tab/>
              <w:t>Update searches.</w:t>
            </w:r>
          </w:p>
        </w:tc>
        <w:tc>
          <w:tcPr>
            <w:tcW w:w="450" w:type="dxa"/>
            <w:tcBorders>
              <w:left w:val="single" w:sz="6" w:space="0" w:color="auto"/>
            </w:tcBorders>
          </w:tcPr>
          <w:p w14:paraId="247056D5"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04BFEBD8"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51C7755D"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6BEE5DF4"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32974C6F" w14:textId="77777777" w:rsidR="00B72890" w:rsidRPr="002A4C75" w:rsidRDefault="00B72890" w:rsidP="008D4DC4">
            <w:pPr>
              <w:pStyle w:val="Level111G1"/>
              <w:spacing w:before="0" w:after="0"/>
              <w:ind w:left="907" w:hanging="907"/>
              <w:rPr>
                <w:sz w:val="32"/>
                <w:szCs w:val="32"/>
              </w:rPr>
            </w:pPr>
          </w:p>
        </w:tc>
      </w:tr>
      <w:tr w:rsidR="00B72890" w:rsidRPr="00FB5173" w14:paraId="68EB4495" w14:textId="77777777" w:rsidTr="00193E31">
        <w:trPr>
          <w:cantSplit/>
          <w:trHeight w:val="369"/>
        </w:trPr>
        <w:tc>
          <w:tcPr>
            <w:tcW w:w="6948" w:type="dxa"/>
          </w:tcPr>
          <w:p w14:paraId="70EA8509" w14:textId="77777777" w:rsidR="00B72890" w:rsidRPr="00404F05" w:rsidRDefault="001B1506" w:rsidP="008D4DC4">
            <w:pPr>
              <w:pStyle w:val="Level111G1"/>
              <w:spacing w:before="0" w:after="0"/>
              <w:ind w:left="907" w:hanging="907"/>
            </w:pPr>
            <w:r w:rsidRPr="00404F05">
              <w:tab/>
              <w:t>6.2</w:t>
            </w:r>
            <w:r w:rsidRPr="00404F05">
              <w:tab/>
              <w:t>Ensure proper signing and execution of the lease:</w:t>
            </w:r>
          </w:p>
        </w:tc>
        <w:tc>
          <w:tcPr>
            <w:tcW w:w="450" w:type="dxa"/>
            <w:tcBorders>
              <w:left w:val="single" w:sz="6" w:space="0" w:color="auto"/>
            </w:tcBorders>
          </w:tcPr>
          <w:p w14:paraId="6FFEA8AC"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1799B8CF"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7F53AD72"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4831DCDC"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3BF2B3DF" w14:textId="77777777" w:rsidR="00B72890" w:rsidRPr="002A4C75" w:rsidRDefault="00B72890" w:rsidP="008D4DC4">
            <w:pPr>
              <w:pStyle w:val="Level111G1"/>
              <w:spacing w:before="0" w:after="0"/>
              <w:ind w:left="907" w:hanging="907"/>
              <w:rPr>
                <w:sz w:val="32"/>
                <w:szCs w:val="32"/>
              </w:rPr>
            </w:pPr>
          </w:p>
        </w:tc>
      </w:tr>
      <w:tr w:rsidR="00B72890" w:rsidRPr="00FB5173" w14:paraId="7B0176F2" w14:textId="77777777">
        <w:trPr>
          <w:cantSplit/>
          <w:trHeight w:val="882"/>
        </w:trPr>
        <w:tc>
          <w:tcPr>
            <w:tcW w:w="6948" w:type="dxa"/>
          </w:tcPr>
          <w:p w14:paraId="24B2E86A" w14:textId="77777777" w:rsidR="00B72890" w:rsidRPr="00404F05" w:rsidRDefault="001B1506">
            <w:pPr>
              <w:pStyle w:val="Level2"/>
            </w:pPr>
            <w:r w:rsidRPr="00404F05">
              <w:tab/>
              <w:t>.1</w:t>
            </w:r>
            <w:r w:rsidRPr="00404F05">
              <w:tab/>
              <w:t xml:space="preserve">Prepare a general instrument (Form C), if the lease is to be registered, and ensure compliance with LTO format requirements, including requirements for property transfer tax return and payment of any such tax and transparency declaration and transparency report under the </w:t>
            </w:r>
            <w:r w:rsidRPr="00404F05">
              <w:rPr>
                <w:i/>
              </w:rPr>
              <w:t>LOTA</w:t>
            </w:r>
            <w:r w:rsidRPr="00404F05">
              <w:t>.</w:t>
            </w:r>
          </w:p>
        </w:tc>
        <w:tc>
          <w:tcPr>
            <w:tcW w:w="450" w:type="dxa"/>
            <w:tcBorders>
              <w:left w:val="single" w:sz="6" w:space="0" w:color="auto"/>
            </w:tcBorders>
          </w:tcPr>
          <w:p w14:paraId="7E8AEDA4" w14:textId="77777777" w:rsidR="00B72890" w:rsidRPr="002A4C75" w:rsidRDefault="00B72890">
            <w:pPr>
              <w:pStyle w:val="Level2"/>
              <w:rPr>
                <w:sz w:val="32"/>
                <w:szCs w:val="32"/>
              </w:rPr>
            </w:pPr>
          </w:p>
        </w:tc>
        <w:tc>
          <w:tcPr>
            <w:tcW w:w="450" w:type="dxa"/>
            <w:tcBorders>
              <w:left w:val="single" w:sz="6" w:space="0" w:color="auto"/>
            </w:tcBorders>
          </w:tcPr>
          <w:p w14:paraId="32CBA331" w14:textId="77777777" w:rsidR="00B72890" w:rsidRPr="002A4C75" w:rsidRDefault="00B72890">
            <w:pPr>
              <w:pStyle w:val="Level2"/>
              <w:rPr>
                <w:sz w:val="32"/>
                <w:szCs w:val="32"/>
              </w:rPr>
            </w:pPr>
          </w:p>
        </w:tc>
        <w:tc>
          <w:tcPr>
            <w:tcW w:w="450" w:type="dxa"/>
            <w:tcBorders>
              <w:left w:val="single" w:sz="6" w:space="0" w:color="auto"/>
            </w:tcBorders>
          </w:tcPr>
          <w:p w14:paraId="494056F5" w14:textId="77777777" w:rsidR="00B72890" w:rsidRPr="002A4C75" w:rsidRDefault="00B72890">
            <w:pPr>
              <w:pStyle w:val="Level2"/>
              <w:rPr>
                <w:sz w:val="32"/>
                <w:szCs w:val="32"/>
              </w:rPr>
            </w:pPr>
          </w:p>
        </w:tc>
        <w:tc>
          <w:tcPr>
            <w:tcW w:w="1001" w:type="dxa"/>
            <w:tcBorders>
              <w:left w:val="single" w:sz="6" w:space="0" w:color="auto"/>
            </w:tcBorders>
          </w:tcPr>
          <w:p w14:paraId="4454CBC5" w14:textId="77777777" w:rsidR="00B72890" w:rsidRPr="002A4C75" w:rsidRDefault="00B72890">
            <w:pPr>
              <w:pStyle w:val="Level2"/>
              <w:rPr>
                <w:sz w:val="32"/>
                <w:szCs w:val="32"/>
              </w:rPr>
            </w:pPr>
          </w:p>
        </w:tc>
        <w:tc>
          <w:tcPr>
            <w:tcW w:w="1001" w:type="dxa"/>
            <w:tcBorders>
              <w:left w:val="single" w:sz="6" w:space="0" w:color="auto"/>
            </w:tcBorders>
          </w:tcPr>
          <w:p w14:paraId="041A2B72" w14:textId="77777777" w:rsidR="00B72890" w:rsidRPr="002A4C75" w:rsidRDefault="00B72890">
            <w:pPr>
              <w:pStyle w:val="Level2"/>
              <w:rPr>
                <w:sz w:val="32"/>
                <w:szCs w:val="32"/>
              </w:rPr>
            </w:pPr>
          </w:p>
        </w:tc>
      </w:tr>
      <w:tr w:rsidR="00B72890" w:rsidRPr="00FB5173" w14:paraId="1B590280" w14:textId="77777777" w:rsidTr="00193E31">
        <w:trPr>
          <w:cantSplit/>
          <w:trHeight w:val="342"/>
        </w:trPr>
        <w:tc>
          <w:tcPr>
            <w:tcW w:w="6948" w:type="dxa"/>
          </w:tcPr>
          <w:p w14:paraId="023D2D82" w14:textId="77777777" w:rsidR="00B72890" w:rsidRPr="00404F05" w:rsidRDefault="001B1506" w:rsidP="008D4DC4">
            <w:pPr>
              <w:pStyle w:val="Level2"/>
              <w:spacing w:before="0" w:after="0"/>
              <w:ind w:left="1166" w:hanging="1166"/>
            </w:pPr>
            <w:r w:rsidRPr="00404F05">
              <w:tab/>
              <w:t>.2</w:t>
            </w:r>
            <w:r w:rsidRPr="00404F05">
              <w:tab/>
              <w:t>Have the lease signed by an authorized signatory.</w:t>
            </w:r>
          </w:p>
        </w:tc>
        <w:tc>
          <w:tcPr>
            <w:tcW w:w="450" w:type="dxa"/>
            <w:tcBorders>
              <w:left w:val="single" w:sz="6" w:space="0" w:color="auto"/>
            </w:tcBorders>
          </w:tcPr>
          <w:p w14:paraId="000796FE"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3E383BAF" w14:textId="77777777" w:rsidR="00B72890" w:rsidRPr="002A4C75" w:rsidRDefault="00B72890" w:rsidP="008D4DC4">
            <w:pPr>
              <w:pStyle w:val="Level2"/>
              <w:spacing w:before="0" w:after="0"/>
              <w:ind w:left="1166" w:hanging="1166"/>
              <w:rPr>
                <w:sz w:val="32"/>
                <w:szCs w:val="32"/>
              </w:rPr>
            </w:pPr>
          </w:p>
        </w:tc>
        <w:tc>
          <w:tcPr>
            <w:tcW w:w="450" w:type="dxa"/>
            <w:tcBorders>
              <w:left w:val="single" w:sz="6" w:space="0" w:color="auto"/>
            </w:tcBorders>
          </w:tcPr>
          <w:p w14:paraId="0E5675E6"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25F5AC7B" w14:textId="77777777" w:rsidR="00B72890" w:rsidRPr="002A4C75" w:rsidRDefault="00B72890" w:rsidP="008D4DC4">
            <w:pPr>
              <w:pStyle w:val="Level2"/>
              <w:spacing w:before="0" w:after="0"/>
              <w:ind w:left="1166" w:hanging="1166"/>
              <w:rPr>
                <w:sz w:val="32"/>
                <w:szCs w:val="32"/>
              </w:rPr>
            </w:pPr>
          </w:p>
        </w:tc>
        <w:tc>
          <w:tcPr>
            <w:tcW w:w="1001" w:type="dxa"/>
            <w:tcBorders>
              <w:left w:val="single" w:sz="6" w:space="0" w:color="auto"/>
            </w:tcBorders>
          </w:tcPr>
          <w:p w14:paraId="5CE6BFCD" w14:textId="77777777" w:rsidR="00B72890" w:rsidRPr="002A4C75" w:rsidRDefault="00B72890" w:rsidP="008D4DC4">
            <w:pPr>
              <w:pStyle w:val="Level2"/>
              <w:spacing w:before="0" w:after="0"/>
              <w:ind w:left="1166" w:hanging="1166"/>
              <w:rPr>
                <w:sz w:val="32"/>
                <w:szCs w:val="32"/>
              </w:rPr>
            </w:pPr>
          </w:p>
        </w:tc>
      </w:tr>
      <w:tr w:rsidR="00B72890" w:rsidRPr="00FB5173" w14:paraId="1EB6DF70" w14:textId="77777777" w:rsidTr="008D4DC4">
        <w:trPr>
          <w:cantSplit/>
          <w:trHeight w:val="1170"/>
        </w:trPr>
        <w:tc>
          <w:tcPr>
            <w:tcW w:w="6948" w:type="dxa"/>
          </w:tcPr>
          <w:p w14:paraId="40C1B8F9" w14:textId="378CADEC" w:rsidR="00B72890" w:rsidRPr="00404F05" w:rsidRDefault="001B1506">
            <w:pPr>
              <w:pStyle w:val="Level2"/>
            </w:pPr>
            <w:r w:rsidRPr="00404F05">
              <w:tab/>
              <w:t>.3</w:t>
            </w:r>
            <w:r w:rsidRPr="00404F05">
              <w:tab/>
              <w:t xml:space="preserve">Execute it before a certifying officer (lawyer, commissioner, notary public), if it is to be registered in the LTO. See comments regarding temporary practice changes by the LTSA under the “Of note” and “New developments” sections in this checklist. </w:t>
            </w:r>
          </w:p>
        </w:tc>
        <w:tc>
          <w:tcPr>
            <w:tcW w:w="450" w:type="dxa"/>
            <w:tcBorders>
              <w:left w:val="single" w:sz="6" w:space="0" w:color="auto"/>
            </w:tcBorders>
          </w:tcPr>
          <w:p w14:paraId="62E20571" w14:textId="77777777" w:rsidR="00B72890" w:rsidRPr="00193E31" w:rsidRDefault="00B72890">
            <w:pPr>
              <w:pStyle w:val="Level2"/>
              <w:rPr>
                <w:sz w:val="32"/>
                <w:szCs w:val="32"/>
              </w:rPr>
            </w:pPr>
          </w:p>
        </w:tc>
        <w:tc>
          <w:tcPr>
            <w:tcW w:w="450" w:type="dxa"/>
            <w:tcBorders>
              <w:left w:val="single" w:sz="6" w:space="0" w:color="auto"/>
            </w:tcBorders>
          </w:tcPr>
          <w:p w14:paraId="13F7A9DA" w14:textId="77777777" w:rsidR="00B72890" w:rsidRPr="00193E31" w:rsidRDefault="00B72890">
            <w:pPr>
              <w:pStyle w:val="Level2"/>
              <w:rPr>
                <w:sz w:val="32"/>
                <w:szCs w:val="32"/>
              </w:rPr>
            </w:pPr>
          </w:p>
        </w:tc>
        <w:tc>
          <w:tcPr>
            <w:tcW w:w="450" w:type="dxa"/>
            <w:tcBorders>
              <w:left w:val="single" w:sz="6" w:space="0" w:color="auto"/>
            </w:tcBorders>
          </w:tcPr>
          <w:p w14:paraId="1F3BD5F5" w14:textId="77777777" w:rsidR="00B72890" w:rsidRPr="00193E31" w:rsidRDefault="00B72890">
            <w:pPr>
              <w:pStyle w:val="Level2"/>
              <w:rPr>
                <w:sz w:val="32"/>
                <w:szCs w:val="32"/>
              </w:rPr>
            </w:pPr>
          </w:p>
        </w:tc>
        <w:tc>
          <w:tcPr>
            <w:tcW w:w="1001" w:type="dxa"/>
            <w:tcBorders>
              <w:left w:val="single" w:sz="6" w:space="0" w:color="auto"/>
            </w:tcBorders>
          </w:tcPr>
          <w:p w14:paraId="558BCF9A" w14:textId="77777777" w:rsidR="00B72890" w:rsidRPr="00193E31" w:rsidRDefault="00B72890">
            <w:pPr>
              <w:pStyle w:val="Level2"/>
              <w:rPr>
                <w:sz w:val="32"/>
                <w:szCs w:val="32"/>
              </w:rPr>
            </w:pPr>
          </w:p>
        </w:tc>
        <w:tc>
          <w:tcPr>
            <w:tcW w:w="1001" w:type="dxa"/>
            <w:tcBorders>
              <w:left w:val="single" w:sz="6" w:space="0" w:color="auto"/>
            </w:tcBorders>
          </w:tcPr>
          <w:p w14:paraId="6FA8183D" w14:textId="77777777" w:rsidR="00B72890" w:rsidRPr="00193E31" w:rsidRDefault="00B72890">
            <w:pPr>
              <w:pStyle w:val="Level2"/>
              <w:rPr>
                <w:sz w:val="32"/>
                <w:szCs w:val="32"/>
              </w:rPr>
            </w:pPr>
          </w:p>
        </w:tc>
      </w:tr>
      <w:tr w:rsidR="00B72890" w:rsidRPr="00FB5173" w14:paraId="65F3A5E1" w14:textId="77777777" w:rsidTr="008D4DC4">
        <w:trPr>
          <w:cantSplit/>
          <w:trHeight w:val="441"/>
        </w:trPr>
        <w:tc>
          <w:tcPr>
            <w:tcW w:w="6948" w:type="dxa"/>
          </w:tcPr>
          <w:p w14:paraId="68A68827" w14:textId="77777777" w:rsidR="00B72890" w:rsidRPr="00404F05" w:rsidRDefault="001B1506" w:rsidP="008D4DC4">
            <w:pPr>
              <w:pStyle w:val="Level111G1"/>
              <w:spacing w:before="0" w:after="0"/>
              <w:ind w:left="907" w:hanging="907"/>
            </w:pPr>
            <w:r w:rsidRPr="00404F05">
              <w:lastRenderedPageBreak/>
              <w:tab/>
              <w:t>6.3</w:t>
            </w:r>
            <w:r w:rsidRPr="00404F05">
              <w:tab/>
              <w:t>Ensure proper signing and execution of supplementary documents.</w:t>
            </w:r>
          </w:p>
        </w:tc>
        <w:tc>
          <w:tcPr>
            <w:tcW w:w="450" w:type="dxa"/>
            <w:tcBorders>
              <w:left w:val="single" w:sz="6" w:space="0" w:color="auto"/>
            </w:tcBorders>
          </w:tcPr>
          <w:p w14:paraId="57C23069" w14:textId="77777777" w:rsidR="00B72890" w:rsidRPr="00193E31" w:rsidRDefault="00B72890" w:rsidP="008D4DC4">
            <w:pPr>
              <w:pStyle w:val="Level111G1"/>
              <w:spacing w:before="0" w:after="0"/>
              <w:rPr>
                <w:sz w:val="32"/>
                <w:szCs w:val="32"/>
              </w:rPr>
            </w:pPr>
          </w:p>
        </w:tc>
        <w:tc>
          <w:tcPr>
            <w:tcW w:w="450" w:type="dxa"/>
            <w:tcBorders>
              <w:left w:val="single" w:sz="6" w:space="0" w:color="auto"/>
            </w:tcBorders>
          </w:tcPr>
          <w:p w14:paraId="4FC809BB" w14:textId="77777777" w:rsidR="00B72890" w:rsidRPr="00193E31" w:rsidRDefault="00B72890" w:rsidP="008D4DC4">
            <w:pPr>
              <w:pStyle w:val="Level111G1"/>
              <w:spacing w:before="0" w:after="0"/>
              <w:rPr>
                <w:sz w:val="32"/>
                <w:szCs w:val="32"/>
              </w:rPr>
            </w:pPr>
          </w:p>
        </w:tc>
        <w:tc>
          <w:tcPr>
            <w:tcW w:w="450" w:type="dxa"/>
            <w:tcBorders>
              <w:left w:val="single" w:sz="6" w:space="0" w:color="auto"/>
            </w:tcBorders>
          </w:tcPr>
          <w:p w14:paraId="482A1FC1" w14:textId="77777777" w:rsidR="00B72890" w:rsidRPr="00193E31" w:rsidRDefault="00B72890" w:rsidP="008D4DC4">
            <w:pPr>
              <w:pStyle w:val="Level111G1"/>
              <w:spacing w:before="0" w:after="0"/>
              <w:rPr>
                <w:sz w:val="32"/>
                <w:szCs w:val="32"/>
              </w:rPr>
            </w:pPr>
          </w:p>
        </w:tc>
        <w:tc>
          <w:tcPr>
            <w:tcW w:w="1001" w:type="dxa"/>
            <w:tcBorders>
              <w:left w:val="single" w:sz="6" w:space="0" w:color="auto"/>
            </w:tcBorders>
          </w:tcPr>
          <w:p w14:paraId="1310FA45" w14:textId="77777777" w:rsidR="00B72890" w:rsidRPr="00193E31" w:rsidRDefault="00B72890" w:rsidP="008D4DC4">
            <w:pPr>
              <w:pStyle w:val="Level111G1"/>
              <w:spacing w:before="0" w:after="0"/>
              <w:rPr>
                <w:sz w:val="32"/>
                <w:szCs w:val="32"/>
              </w:rPr>
            </w:pPr>
          </w:p>
        </w:tc>
        <w:tc>
          <w:tcPr>
            <w:tcW w:w="1001" w:type="dxa"/>
            <w:tcBorders>
              <w:left w:val="single" w:sz="6" w:space="0" w:color="auto"/>
            </w:tcBorders>
          </w:tcPr>
          <w:p w14:paraId="0D5DE3AA" w14:textId="77777777" w:rsidR="00B72890" w:rsidRPr="00193E31" w:rsidRDefault="00B72890" w:rsidP="008D4DC4">
            <w:pPr>
              <w:pStyle w:val="Level111G1"/>
              <w:spacing w:before="0" w:after="0"/>
              <w:rPr>
                <w:sz w:val="32"/>
                <w:szCs w:val="32"/>
              </w:rPr>
            </w:pPr>
          </w:p>
        </w:tc>
      </w:tr>
      <w:tr w:rsidR="00B72890" w:rsidRPr="00FB5173" w14:paraId="1A8CA70B" w14:textId="77777777">
        <w:trPr>
          <w:cantSplit/>
        </w:trPr>
        <w:tc>
          <w:tcPr>
            <w:tcW w:w="6948" w:type="dxa"/>
          </w:tcPr>
          <w:p w14:paraId="4F2FA09F" w14:textId="77777777" w:rsidR="00B72890" w:rsidRPr="00404F05" w:rsidRDefault="001B1506">
            <w:pPr>
              <w:pStyle w:val="NumberedheadingGH"/>
              <w:jc w:val="both"/>
            </w:pPr>
            <w:r w:rsidRPr="00404F05">
              <w:t>7.</w:t>
            </w:r>
            <w:r w:rsidRPr="00404F05">
              <w:tab/>
              <w:t>CLOSING THE FILE</w:t>
            </w:r>
          </w:p>
        </w:tc>
        <w:tc>
          <w:tcPr>
            <w:tcW w:w="450" w:type="dxa"/>
            <w:tcBorders>
              <w:left w:val="single" w:sz="6" w:space="0" w:color="auto"/>
            </w:tcBorders>
          </w:tcPr>
          <w:p w14:paraId="7131E593"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2241353C" w14:textId="77777777" w:rsidR="00B72890" w:rsidRPr="002A4C75" w:rsidRDefault="00B72890">
            <w:pPr>
              <w:pStyle w:val="unformattedtext"/>
              <w:spacing w:before="60"/>
              <w:rPr>
                <w:sz w:val="32"/>
                <w:szCs w:val="32"/>
              </w:rPr>
            </w:pPr>
          </w:p>
        </w:tc>
        <w:tc>
          <w:tcPr>
            <w:tcW w:w="450" w:type="dxa"/>
            <w:tcBorders>
              <w:left w:val="single" w:sz="6" w:space="0" w:color="auto"/>
            </w:tcBorders>
          </w:tcPr>
          <w:p w14:paraId="3AA409F3"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421E903C" w14:textId="77777777" w:rsidR="00B72890" w:rsidRPr="002A4C75" w:rsidRDefault="00B72890">
            <w:pPr>
              <w:pStyle w:val="unformattedtext"/>
              <w:spacing w:before="60"/>
              <w:rPr>
                <w:sz w:val="32"/>
                <w:szCs w:val="32"/>
              </w:rPr>
            </w:pPr>
          </w:p>
        </w:tc>
        <w:tc>
          <w:tcPr>
            <w:tcW w:w="1001" w:type="dxa"/>
            <w:tcBorders>
              <w:left w:val="single" w:sz="6" w:space="0" w:color="auto"/>
            </w:tcBorders>
          </w:tcPr>
          <w:p w14:paraId="29902949" w14:textId="77777777" w:rsidR="00B72890" w:rsidRPr="002A4C75" w:rsidRDefault="00B72890">
            <w:pPr>
              <w:pStyle w:val="unformattedtext"/>
              <w:spacing w:before="60"/>
              <w:rPr>
                <w:sz w:val="32"/>
                <w:szCs w:val="32"/>
              </w:rPr>
            </w:pPr>
          </w:p>
        </w:tc>
      </w:tr>
      <w:tr w:rsidR="00B72890" w:rsidRPr="00FB5173" w14:paraId="4FCBF97D" w14:textId="77777777">
        <w:trPr>
          <w:cantSplit/>
          <w:trHeight w:val="900"/>
        </w:trPr>
        <w:tc>
          <w:tcPr>
            <w:tcW w:w="6948" w:type="dxa"/>
          </w:tcPr>
          <w:p w14:paraId="20F11C73" w14:textId="77777777" w:rsidR="00B72890" w:rsidRPr="00404F05" w:rsidRDefault="001B1506">
            <w:pPr>
              <w:pStyle w:val="Level111G1"/>
            </w:pPr>
            <w:r w:rsidRPr="00404F05">
              <w:tab/>
              <w:t>7.1</w:t>
            </w:r>
            <w:r w:rsidRPr="00404F05">
              <w:tab/>
              <w:t>Arrange for preparation of an explanatory plan of survey (</w:t>
            </w:r>
            <w:r w:rsidRPr="00404F05">
              <w:rPr>
                <w:i/>
                <w:iCs/>
              </w:rPr>
              <w:t>Land Title Act</w:t>
            </w:r>
            <w:r w:rsidRPr="00404F05">
              <w:t>, ss. 74 and 99) and register the plan and the lease in the LTO unless the lease provides otherwise. (The tenant usually arranges and pays for preparation of the plan and registration.)</w:t>
            </w:r>
          </w:p>
        </w:tc>
        <w:tc>
          <w:tcPr>
            <w:tcW w:w="450" w:type="dxa"/>
            <w:tcBorders>
              <w:left w:val="single" w:sz="6" w:space="0" w:color="auto"/>
            </w:tcBorders>
          </w:tcPr>
          <w:p w14:paraId="5CDD3E3E" w14:textId="77777777" w:rsidR="00B72890" w:rsidRPr="002A4C75" w:rsidRDefault="00B72890">
            <w:pPr>
              <w:pStyle w:val="Level111G1"/>
              <w:rPr>
                <w:sz w:val="32"/>
                <w:szCs w:val="32"/>
              </w:rPr>
            </w:pPr>
          </w:p>
        </w:tc>
        <w:tc>
          <w:tcPr>
            <w:tcW w:w="450" w:type="dxa"/>
            <w:tcBorders>
              <w:left w:val="single" w:sz="6" w:space="0" w:color="auto"/>
            </w:tcBorders>
          </w:tcPr>
          <w:p w14:paraId="2EA9C1E4" w14:textId="77777777" w:rsidR="00B72890" w:rsidRPr="002A4C75" w:rsidRDefault="00B72890">
            <w:pPr>
              <w:pStyle w:val="Level111G1"/>
              <w:rPr>
                <w:sz w:val="32"/>
                <w:szCs w:val="32"/>
              </w:rPr>
            </w:pPr>
          </w:p>
        </w:tc>
        <w:tc>
          <w:tcPr>
            <w:tcW w:w="450" w:type="dxa"/>
            <w:tcBorders>
              <w:left w:val="single" w:sz="6" w:space="0" w:color="auto"/>
            </w:tcBorders>
          </w:tcPr>
          <w:p w14:paraId="41801AD9" w14:textId="77777777" w:rsidR="00B72890" w:rsidRPr="002A4C75" w:rsidRDefault="00B72890">
            <w:pPr>
              <w:pStyle w:val="Level111G1"/>
              <w:rPr>
                <w:sz w:val="32"/>
                <w:szCs w:val="32"/>
              </w:rPr>
            </w:pPr>
          </w:p>
        </w:tc>
        <w:tc>
          <w:tcPr>
            <w:tcW w:w="1001" w:type="dxa"/>
            <w:tcBorders>
              <w:left w:val="single" w:sz="6" w:space="0" w:color="auto"/>
            </w:tcBorders>
          </w:tcPr>
          <w:p w14:paraId="6A92DA8F" w14:textId="77777777" w:rsidR="00B72890" w:rsidRPr="002A4C75" w:rsidRDefault="00B72890">
            <w:pPr>
              <w:pStyle w:val="Level111G1"/>
              <w:rPr>
                <w:sz w:val="32"/>
                <w:szCs w:val="32"/>
              </w:rPr>
            </w:pPr>
          </w:p>
        </w:tc>
        <w:tc>
          <w:tcPr>
            <w:tcW w:w="1001" w:type="dxa"/>
            <w:tcBorders>
              <w:left w:val="single" w:sz="6" w:space="0" w:color="auto"/>
            </w:tcBorders>
          </w:tcPr>
          <w:p w14:paraId="1ED79716" w14:textId="77777777" w:rsidR="00B72890" w:rsidRPr="002A4C75" w:rsidRDefault="00B72890">
            <w:pPr>
              <w:pStyle w:val="Level111G1"/>
              <w:rPr>
                <w:sz w:val="32"/>
                <w:szCs w:val="32"/>
              </w:rPr>
            </w:pPr>
          </w:p>
        </w:tc>
      </w:tr>
      <w:tr w:rsidR="00B72890" w:rsidRPr="00FB5173" w14:paraId="256DC77E" w14:textId="77777777">
        <w:trPr>
          <w:cantSplit/>
          <w:trHeight w:val="70"/>
        </w:trPr>
        <w:tc>
          <w:tcPr>
            <w:tcW w:w="6948" w:type="dxa"/>
          </w:tcPr>
          <w:p w14:paraId="5F2F09B9" w14:textId="77777777" w:rsidR="00B72890" w:rsidRPr="00404F05" w:rsidRDefault="001B1506">
            <w:pPr>
              <w:pStyle w:val="Level111G1"/>
            </w:pPr>
            <w:r w:rsidRPr="00404F05">
              <w:tab/>
              <w:t>7.2</w:t>
            </w:r>
            <w:r w:rsidRPr="00404F05">
              <w:tab/>
              <w:t>Prepare and file a property transfer tax return. If the lease is for 30 years or less, including renewals, file a “special” return.</w:t>
            </w:r>
          </w:p>
        </w:tc>
        <w:tc>
          <w:tcPr>
            <w:tcW w:w="450" w:type="dxa"/>
            <w:tcBorders>
              <w:left w:val="single" w:sz="6" w:space="0" w:color="auto"/>
            </w:tcBorders>
          </w:tcPr>
          <w:p w14:paraId="2A94EBD4" w14:textId="77777777" w:rsidR="00B72890" w:rsidRPr="002A4C75" w:rsidRDefault="00B72890">
            <w:pPr>
              <w:pStyle w:val="Level111G1"/>
              <w:rPr>
                <w:sz w:val="32"/>
                <w:szCs w:val="32"/>
              </w:rPr>
            </w:pPr>
          </w:p>
        </w:tc>
        <w:tc>
          <w:tcPr>
            <w:tcW w:w="450" w:type="dxa"/>
            <w:tcBorders>
              <w:left w:val="single" w:sz="6" w:space="0" w:color="auto"/>
            </w:tcBorders>
          </w:tcPr>
          <w:p w14:paraId="2E27F3E4" w14:textId="77777777" w:rsidR="00B72890" w:rsidRPr="002A4C75" w:rsidRDefault="00B72890">
            <w:pPr>
              <w:pStyle w:val="Level111G1"/>
              <w:rPr>
                <w:sz w:val="32"/>
                <w:szCs w:val="32"/>
              </w:rPr>
            </w:pPr>
          </w:p>
        </w:tc>
        <w:tc>
          <w:tcPr>
            <w:tcW w:w="450" w:type="dxa"/>
            <w:tcBorders>
              <w:left w:val="single" w:sz="6" w:space="0" w:color="auto"/>
            </w:tcBorders>
          </w:tcPr>
          <w:p w14:paraId="4DC43D6E" w14:textId="77777777" w:rsidR="00B72890" w:rsidRPr="002A4C75" w:rsidRDefault="00B72890">
            <w:pPr>
              <w:pStyle w:val="Level111G1"/>
              <w:rPr>
                <w:sz w:val="32"/>
                <w:szCs w:val="32"/>
              </w:rPr>
            </w:pPr>
          </w:p>
        </w:tc>
        <w:tc>
          <w:tcPr>
            <w:tcW w:w="1001" w:type="dxa"/>
            <w:tcBorders>
              <w:left w:val="single" w:sz="6" w:space="0" w:color="auto"/>
            </w:tcBorders>
          </w:tcPr>
          <w:p w14:paraId="7C75895D" w14:textId="77777777" w:rsidR="00B72890" w:rsidRPr="002A4C75" w:rsidRDefault="00B72890">
            <w:pPr>
              <w:pStyle w:val="Level111G1"/>
              <w:rPr>
                <w:sz w:val="32"/>
                <w:szCs w:val="32"/>
              </w:rPr>
            </w:pPr>
          </w:p>
        </w:tc>
        <w:tc>
          <w:tcPr>
            <w:tcW w:w="1001" w:type="dxa"/>
            <w:tcBorders>
              <w:left w:val="single" w:sz="6" w:space="0" w:color="auto"/>
            </w:tcBorders>
          </w:tcPr>
          <w:p w14:paraId="44239DE9" w14:textId="77777777" w:rsidR="00B72890" w:rsidRPr="002A4C75" w:rsidRDefault="00B72890">
            <w:pPr>
              <w:pStyle w:val="Level111G1"/>
              <w:rPr>
                <w:sz w:val="32"/>
                <w:szCs w:val="32"/>
              </w:rPr>
            </w:pPr>
          </w:p>
        </w:tc>
      </w:tr>
      <w:tr w:rsidR="00B72890" w:rsidRPr="00FB5173" w14:paraId="7A161A18" w14:textId="77777777">
        <w:trPr>
          <w:cantSplit/>
          <w:trHeight w:val="70"/>
        </w:trPr>
        <w:tc>
          <w:tcPr>
            <w:tcW w:w="6948" w:type="dxa"/>
          </w:tcPr>
          <w:p w14:paraId="7F8AEA10" w14:textId="77777777" w:rsidR="00B72890" w:rsidRPr="00404F05" w:rsidRDefault="001B1506">
            <w:pPr>
              <w:pStyle w:val="Level111G1"/>
            </w:pPr>
            <w:r w:rsidRPr="00404F05">
              <w:tab/>
              <w:t>7.3</w:t>
            </w:r>
            <w:r w:rsidRPr="00404F05">
              <w:tab/>
              <w:t xml:space="preserve">Prepare and file a transparency declaration and transparency report under the </w:t>
            </w:r>
            <w:r w:rsidRPr="00404F05">
              <w:rPr>
                <w:i/>
              </w:rPr>
              <w:t>LOTA</w:t>
            </w:r>
            <w:r w:rsidRPr="00404F05">
              <w:t xml:space="preserve"> if applicable.</w:t>
            </w:r>
          </w:p>
        </w:tc>
        <w:tc>
          <w:tcPr>
            <w:tcW w:w="450" w:type="dxa"/>
            <w:tcBorders>
              <w:left w:val="single" w:sz="6" w:space="0" w:color="auto"/>
            </w:tcBorders>
          </w:tcPr>
          <w:p w14:paraId="0F4257FC" w14:textId="77777777" w:rsidR="00B72890" w:rsidRPr="002A4C75" w:rsidRDefault="00B72890">
            <w:pPr>
              <w:pStyle w:val="Level111G1"/>
              <w:rPr>
                <w:sz w:val="32"/>
                <w:szCs w:val="32"/>
              </w:rPr>
            </w:pPr>
          </w:p>
        </w:tc>
        <w:tc>
          <w:tcPr>
            <w:tcW w:w="450" w:type="dxa"/>
            <w:tcBorders>
              <w:left w:val="single" w:sz="6" w:space="0" w:color="auto"/>
            </w:tcBorders>
          </w:tcPr>
          <w:p w14:paraId="7F360EDF" w14:textId="77777777" w:rsidR="00B72890" w:rsidRPr="002A4C75" w:rsidRDefault="00B72890">
            <w:pPr>
              <w:pStyle w:val="Level111G1"/>
              <w:rPr>
                <w:sz w:val="32"/>
                <w:szCs w:val="32"/>
              </w:rPr>
            </w:pPr>
          </w:p>
        </w:tc>
        <w:tc>
          <w:tcPr>
            <w:tcW w:w="450" w:type="dxa"/>
            <w:tcBorders>
              <w:left w:val="single" w:sz="6" w:space="0" w:color="auto"/>
            </w:tcBorders>
          </w:tcPr>
          <w:p w14:paraId="57E58748" w14:textId="77777777" w:rsidR="00B72890" w:rsidRPr="002A4C75" w:rsidRDefault="00B72890">
            <w:pPr>
              <w:pStyle w:val="Level111G1"/>
              <w:rPr>
                <w:sz w:val="32"/>
                <w:szCs w:val="32"/>
              </w:rPr>
            </w:pPr>
          </w:p>
        </w:tc>
        <w:tc>
          <w:tcPr>
            <w:tcW w:w="1001" w:type="dxa"/>
            <w:tcBorders>
              <w:left w:val="single" w:sz="6" w:space="0" w:color="auto"/>
            </w:tcBorders>
          </w:tcPr>
          <w:p w14:paraId="1B83C22E" w14:textId="77777777" w:rsidR="00B72890" w:rsidRPr="002A4C75" w:rsidRDefault="00B72890">
            <w:pPr>
              <w:pStyle w:val="Level111G1"/>
              <w:rPr>
                <w:sz w:val="32"/>
                <w:szCs w:val="32"/>
              </w:rPr>
            </w:pPr>
          </w:p>
        </w:tc>
        <w:tc>
          <w:tcPr>
            <w:tcW w:w="1001" w:type="dxa"/>
            <w:tcBorders>
              <w:left w:val="single" w:sz="6" w:space="0" w:color="auto"/>
            </w:tcBorders>
          </w:tcPr>
          <w:p w14:paraId="28BD1D34" w14:textId="77777777" w:rsidR="00B72890" w:rsidRPr="002A4C75" w:rsidRDefault="00B72890">
            <w:pPr>
              <w:pStyle w:val="Level111G1"/>
              <w:rPr>
                <w:sz w:val="32"/>
                <w:szCs w:val="32"/>
              </w:rPr>
            </w:pPr>
          </w:p>
        </w:tc>
      </w:tr>
      <w:tr w:rsidR="00B72890" w:rsidRPr="00FB5173" w14:paraId="3AEC494C" w14:textId="77777777">
        <w:trPr>
          <w:cantSplit/>
          <w:trHeight w:val="594"/>
        </w:trPr>
        <w:tc>
          <w:tcPr>
            <w:tcW w:w="6948" w:type="dxa"/>
          </w:tcPr>
          <w:p w14:paraId="3CF4127D" w14:textId="77777777" w:rsidR="00B72890" w:rsidRPr="00404F05" w:rsidRDefault="001B1506">
            <w:pPr>
              <w:pStyle w:val="Level111G1"/>
            </w:pPr>
            <w:r w:rsidRPr="00404F05">
              <w:tab/>
              <w:t>7.4</w:t>
            </w:r>
            <w:r w:rsidRPr="00404F05">
              <w:tab/>
              <w:t>If the landlord obtained a security interest in fixtures on the premises, file a financing statement in the Personal Property Registry and a fixturing notice in the LTO, if appropriate.</w:t>
            </w:r>
          </w:p>
        </w:tc>
        <w:tc>
          <w:tcPr>
            <w:tcW w:w="450" w:type="dxa"/>
            <w:tcBorders>
              <w:left w:val="single" w:sz="6" w:space="0" w:color="auto"/>
            </w:tcBorders>
          </w:tcPr>
          <w:p w14:paraId="7A762457" w14:textId="77777777" w:rsidR="00B72890" w:rsidRPr="002A4C75" w:rsidRDefault="00B72890">
            <w:pPr>
              <w:pStyle w:val="Level111G1"/>
              <w:rPr>
                <w:sz w:val="32"/>
                <w:szCs w:val="32"/>
              </w:rPr>
            </w:pPr>
          </w:p>
        </w:tc>
        <w:tc>
          <w:tcPr>
            <w:tcW w:w="450" w:type="dxa"/>
            <w:tcBorders>
              <w:left w:val="single" w:sz="6" w:space="0" w:color="auto"/>
            </w:tcBorders>
          </w:tcPr>
          <w:p w14:paraId="215D2321" w14:textId="77777777" w:rsidR="00B72890" w:rsidRPr="002A4C75" w:rsidRDefault="00B72890">
            <w:pPr>
              <w:pStyle w:val="Level111G1"/>
              <w:rPr>
                <w:sz w:val="32"/>
                <w:szCs w:val="32"/>
              </w:rPr>
            </w:pPr>
          </w:p>
        </w:tc>
        <w:tc>
          <w:tcPr>
            <w:tcW w:w="450" w:type="dxa"/>
            <w:tcBorders>
              <w:left w:val="single" w:sz="6" w:space="0" w:color="auto"/>
            </w:tcBorders>
          </w:tcPr>
          <w:p w14:paraId="0D1976D8" w14:textId="77777777" w:rsidR="00B72890" w:rsidRPr="002A4C75" w:rsidRDefault="00B72890">
            <w:pPr>
              <w:pStyle w:val="Level111G1"/>
              <w:rPr>
                <w:sz w:val="32"/>
                <w:szCs w:val="32"/>
              </w:rPr>
            </w:pPr>
          </w:p>
        </w:tc>
        <w:tc>
          <w:tcPr>
            <w:tcW w:w="1001" w:type="dxa"/>
            <w:tcBorders>
              <w:left w:val="single" w:sz="6" w:space="0" w:color="auto"/>
            </w:tcBorders>
          </w:tcPr>
          <w:p w14:paraId="24F0E562" w14:textId="77777777" w:rsidR="00B72890" w:rsidRPr="002A4C75" w:rsidRDefault="00B72890">
            <w:pPr>
              <w:pStyle w:val="Level111G1"/>
              <w:rPr>
                <w:sz w:val="32"/>
                <w:szCs w:val="32"/>
              </w:rPr>
            </w:pPr>
          </w:p>
        </w:tc>
        <w:tc>
          <w:tcPr>
            <w:tcW w:w="1001" w:type="dxa"/>
            <w:tcBorders>
              <w:left w:val="single" w:sz="6" w:space="0" w:color="auto"/>
            </w:tcBorders>
          </w:tcPr>
          <w:p w14:paraId="489C9AD2" w14:textId="77777777" w:rsidR="00B72890" w:rsidRPr="002A4C75" w:rsidRDefault="00B72890">
            <w:pPr>
              <w:pStyle w:val="Level111G1"/>
              <w:rPr>
                <w:sz w:val="32"/>
                <w:szCs w:val="32"/>
              </w:rPr>
            </w:pPr>
          </w:p>
        </w:tc>
      </w:tr>
      <w:tr w:rsidR="00B72890" w:rsidRPr="00FB5173" w14:paraId="2D118ECF" w14:textId="77777777" w:rsidTr="00193E31">
        <w:trPr>
          <w:cantSplit/>
          <w:trHeight w:val="1476"/>
        </w:trPr>
        <w:tc>
          <w:tcPr>
            <w:tcW w:w="6948" w:type="dxa"/>
          </w:tcPr>
          <w:p w14:paraId="15C4CEBD" w14:textId="77777777" w:rsidR="00B72890" w:rsidRPr="00404F05" w:rsidRDefault="001B1506">
            <w:pPr>
              <w:pStyle w:val="Level111G1"/>
            </w:pPr>
            <w:r w:rsidRPr="00404F05">
              <w:tab/>
              <w:t>7.5</w:t>
            </w:r>
            <w:r w:rsidRPr="00404F05">
              <w:tab/>
              <w:t xml:space="preserve">If the tenant may be carrying out any improvements to the premises, file a notice of interest under the </w:t>
            </w:r>
            <w:r w:rsidRPr="00404F05">
              <w:rPr>
                <w:rStyle w:val="Italics"/>
                <w:rFonts w:ascii="Times New Roman" w:hAnsi="Times New Roman"/>
              </w:rPr>
              <w:t>Builders Lien Act</w:t>
            </w:r>
            <w:r w:rsidRPr="00404F05">
              <w:t xml:space="preserve"> in the LTO (see </w:t>
            </w:r>
            <w:r w:rsidRPr="00404F05">
              <w:rPr>
                <w:rStyle w:val="Italics"/>
                <w:rFonts w:ascii="Times New Roman" w:hAnsi="Times New Roman"/>
              </w:rPr>
              <w:t>Builders Lien Act</w:t>
            </w:r>
            <w:r w:rsidRPr="00404F05">
              <w:t xml:space="preserve">, s. 3). If you are acting for a landlord of a shopping </w:t>
            </w:r>
            <w:proofErr w:type="spellStart"/>
            <w:r w:rsidRPr="00404F05">
              <w:t>centre</w:t>
            </w:r>
            <w:proofErr w:type="spellEnd"/>
            <w:r w:rsidRPr="00404F05">
              <w:t xml:space="preserve"> or an office tower where tenants are often carrying out improvements to the premises, file a generic notice of interest in the LTO with respect to the whole building or development.</w:t>
            </w:r>
          </w:p>
        </w:tc>
        <w:tc>
          <w:tcPr>
            <w:tcW w:w="450" w:type="dxa"/>
            <w:tcBorders>
              <w:left w:val="single" w:sz="6" w:space="0" w:color="auto"/>
            </w:tcBorders>
          </w:tcPr>
          <w:p w14:paraId="3A3BF23E" w14:textId="77777777" w:rsidR="00B72890" w:rsidRPr="002A4C75" w:rsidRDefault="00B72890">
            <w:pPr>
              <w:pStyle w:val="Level111G1"/>
              <w:rPr>
                <w:sz w:val="32"/>
                <w:szCs w:val="32"/>
              </w:rPr>
            </w:pPr>
          </w:p>
        </w:tc>
        <w:tc>
          <w:tcPr>
            <w:tcW w:w="450" w:type="dxa"/>
            <w:tcBorders>
              <w:left w:val="single" w:sz="6" w:space="0" w:color="auto"/>
            </w:tcBorders>
          </w:tcPr>
          <w:p w14:paraId="28C8F63D" w14:textId="77777777" w:rsidR="00B72890" w:rsidRPr="002A4C75" w:rsidRDefault="00B72890">
            <w:pPr>
              <w:pStyle w:val="Level111G1"/>
              <w:rPr>
                <w:sz w:val="32"/>
                <w:szCs w:val="32"/>
              </w:rPr>
            </w:pPr>
          </w:p>
        </w:tc>
        <w:tc>
          <w:tcPr>
            <w:tcW w:w="450" w:type="dxa"/>
            <w:tcBorders>
              <w:left w:val="single" w:sz="6" w:space="0" w:color="auto"/>
            </w:tcBorders>
          </w:tcPr>
          <w:p w14:paraId="409B411A" w14:textId="77777777" w:rsidR="00B72890" w:rsidRPr="002A4C75" w:rsidRDefault="00B72890">
            <w:pPr>
              <w:pStyle w:val="Level111G1"/>
              <w:rPr>
                <w:sz w:val="32"/>
                <w:szCs w:val="32"/>
              </w:rPr>
            </w:pPr>
          </w:p>
        </w:tc>
        <w:tc>
          <w:tcPr>
            <w:tcW w:w="1001" w:type="dxa"/>
            <w:tcBorders>
              <w:left w:val="single" w:sz="6" w:space="0" w:color="auto"/>
            </w:tcBorders>
          </w:tcPr>
          <w:p w14:paraId="1F1D4C1A" w14:textId="77777777" w:rsidR="00B72890" w:rsidRPr="002A4C75" w:rsidRDefault="00B72890">
            <w:pPr>
              <w:pStyle w:val="Level111G1"/>
              <w:rPr>
                <w:sz w:val="32"/>
                <w:szCs w:val="32"/>
              </w:rPr>
            </w:pPr>
          </w:p>
        </w:tc>
        <w:tc>
          <w:tcPr>
            <w:tcW w:w="1001" w:type="dxa"/>
            <w:tcBorders>
              <w:left w:val="single" w:sz="6" w:space="0" w:color="auto"/>
            </w:tcBorders>
          </w:tcPr>
          <w:p w14:paraId="41FD4A20" w14:textId="77777777" w:rsidR="00B72890" w:rsidRPr="002A4C75" w:rsidRDefault="00B72890">
            <w:pPr>
              <w:pStyle w:val="Level111G1"/>
              <w:rPr>
                <w:sz w:val="32"/>
                <w:szCs w:val="32"/>
              </w:rPr>
            </w:pPr>
          </w:p>
        </w:tc>
      </w:tr>
      <w:tr w:rsidR="00B72890" w:rsidRPr="00FB5173" w14:paraId="7BAE35B4" w14:textId="77777777">
        <w:trPr>
          <w:cantSplit/>
          <w:trHeight w:val="594"/>
        </w:trPr>
        <w:tc>
          <w:tcPr>
            <w:tcW w:w="6948" w:type="dxa"/>
          </w:tcPr>
          <w:p w14:paraId="15A0653B" w14:textId="77777777" w:rsidR="00B72890" w:rsidRPr="00404F05" w:rsidRDefault="001B1506">
            <w:pPr>
              <w:pStyle w:val="Level111G1"/>
            </w:pPr>
            <w:r w:rsidRPr="00404F05">
              <w:tab/>
              <w:t>7.6</w:t>
            </w:r>
            <w:r w:rsidRPr="00404F05">
              <w:tab/>
              <w:t>If there are several notable dates within the lease (for example, dates the landlord’s or tenant’s work is to be completed, fixturing period, date the premises are to be delivered, commencement date, rent commencement date, date by which renewal or extension options must be exercised, and so on), you could prepare a list of critical dates for the client and confirm that you will not be responsible for bringing forward dates or sending them reminders.</w:t>
            </w:r>
          </w:p>
        </w:tc>
        <w:tc>
          <w:tcPr>
            <w:tcW w:w="450" w:type="dxa"/>
            <w:tcBorders>
              <w:left w:val="single" w:sz="6" w:space="0" w:color="auto"/>
            </w:tcBorders>
          </w:tcPr>
          <w:p w14:paraId="45584D98" w14:textId="77777777" w:rsidR="00B72890" w:rsidRPr="002A4C75" w:rsidRDefault="00B72890">
            <w:pPr>
              <w:pStyle w:val="Level111G1"/>
              <w:rPr>
                <w:sz w:val="32"/>
                <w:szCs w:val="32"/>
              </w:rPr>
            </w:pPr>
          </w:p>
        </w:tc>
        <w:tc>
          <w:tcPr>
            <w:tcW w:w="450" w:type="dxa"/>
            <w:tcBorders>
              <w:left w:val="single" w:sz="6" w:space="0" w:color="auto"/>
            </w:tcBorders>
          </w:tcPr>
          <w:p w14:paraId="67A58CCB" w14:textId="77777777" w:rsidR="00B72890" w:rsidRPr="002A4C75" w:rsidRDefault="00B72890">
            <w:pPr>
              <w:pStyle w:val="Level111G1"/>
              <w:rPr>
                <w:sz w:val="32"/>
                <w:szCs w:val="32"/>
              </w:rPr>
            </w:pPr>
          </w:p>
        </w:tc>
        <w:tc>
          <w:tcPr>
            <w:tcW w:w="450" w:type="dxa"/>
            <w:tcBorders>
              <w:left w:val="single" w:sz="6" w:space="0" w:color="auto"/>
            </w:tcBorders>
          </w:tcPr>
          <w:p w14:paraId="55173A03" w14:textId="77777777" w:rsidR="00B72890" w:rsidRPr="002A4C75" w:rsidRDefault="00B72890">
            <w:pPr>
              <w:pStyle w:val="Level111G1"/>
              <w:rPr>
                <w:sz w:val="32"/>
                <w:szCs w:val="32"/>
              </w:rPr>
            </w:pPr>
          </w:p>
        </w:tc>
        <w:tc>
          <w:tcPr>
            <w:tcW w:w="1001" w:type="dxa"/>
            <w:tcBorders>
              <w:left w:val="single" w:sz="6" w:space="0" w:color="auto"/>
            </w:tcBorders>
          </w:tcPr>
          <w:p w14:paraId="77195F00" w14:textId="77777777" w:rsidR="00B72890" w:rsidRPr="002A4C75" w:rsidRDefault="00B72890">
            <w:pPr>
              <w:pStyle w:val="Level111G1"/>
              <w:rPr>
                <w:sz w:val="32"/>
                <w:szCs w:val="32"/>
              </w:rPr>
            </w:pPr>
          </w:p>
        </w:tc>
        <w:tc>
          <w:tcPr>
            <w:tcW w:w="1001" w:type="dxa"/>
            <w:tcBorders>
              <w:left w:val="single" w:sz="6" w:space="0" w:color="auto"/>
            </w:tcBorders>
          </w:tcPr>
          <w:p w14:paraId="235E8201" w14:textId="77777777" w:rsidR="00B72890" w:rsidRPr="002A4C75" w:rsidRDefault="00B72890">
            <w:pPr>
              <w:pStyle w:val="Level111G1"/>
              <w:rPr>
                <w:sz w:val="32"/>
                <w:szCs w:val="32"/>
              </w:rPr>
            </w:pPr>
          </w:p>
        </w:tc>
      </w:tr>
      <w:tr w:rsidR="00B72890" w:rsidRPr="00FB5173" w14:paraId="2C08CA50" w14:textId="77777777">
        <w:trPr>
          <w:cantSplit/>
          <w:trHeight w:val="594"/>
        </w:trPr>
        <w:tc>
          <w:tcPr>
            <w:tcW w:w="6948" w:type="dxa"/>
          </w:tcPr>
          <w:p w14:paraId="654F3652" w14:textId="77777777" w:rsidR="00B72890" w:rsidRPr="00404F05" w:rsidRDefault="001B1506">
            <w:pPr>
              <w:pStyle w:val="Level111G1"/>
            </w:pPr>
            <w:r w:rsidRPr="00404F05">
              <w:tab/>
              <w:t>7.7</w:t>
            </w:r>
            <w:r w:rsidRPr="00404F05">
              <w:tab/>
              <w:t>Prepare a reporting letter and account as soon as practicable after closing. Include copies of relevant documents, details of registration, and details regarding your searches. Diarize the renewal or extension option date and other deadlines for the tenant, or advise the tenant that you are not taking responsibility for these items.</w:t>
            </w:r>
          </w:p>
        </w:tc>
        <w:tc>
          <w:tcPr>
            <w:tcW w:w="450" w:type="dxa"/>
            <w:tcBorders>
              <w:left w:val="single" w:sz="6" w:space="0" w:color="auto"/>
            </w:tcBorders>
          </w:tcPr>
          <w:p w14:paraId="2AE3D26A" w14:textId="77777777" w:rsidR="00B72890" w:rsidRPr="002A4C75" w:rsidRDefault="00B72890">
            <w:pPr>
              <w:pStyle w:val="Level111G1"/>
              <w:rPr>
                <w:sz w:val="32"/>
                <w:szCs w:val="32"/>
              </w:rPr>
            </w:pPr>
          </w:p>
        </w:tc>
        <w:tc>
          <w:tcPr>
            <w:tcW w:w="450" w:type="dxa"/>
            <w:tcBorders>
              <w:left w:val="single" w:sz="6" w:space="0" w:color="auto"/>
            </w:tcBorders>
          </w:tcPr>
          <w:p w14:paraId="010BF232" w14:textId="77777777" w:rsidR="00B72890" w:rsidRPr="002A4C75" w:rsidRDefault="00B72890">
            <w:pPr>
              <w:pStyle w:val="Level111G1"/>
              <w:rPr>
                <w:sz w:val="32"/>
                <w:szCs w:val="32"/>
              </w:rPr>
            </w:pPr>
          </w:p>
        </w:tc>
        <w:tc>
          <w:tcPr>
            <w:tcW w:w="450" w:type="dxa"/>
            <w:tcBorders>
              <w:left w:val="single" w:sz="6" w:space="0" w:color="auto"/>
            </w:tcBorders>
          </w:tcPr>
          <w:p w14:paraId="425718CB" w14:textId="77777777" w:rsidR="00B72890" w:rsidRPr="002A4C75" w:rsidRDefault="00B72890">
            <w:pPr>
              <w:pStyle w:val="Level111G1"/>
              <w:rPr>
                <w:sz w:val="32"/>
                <w:szCs w:val="32"/>
              </w:rPr>
            </w:pPr>
          </w:p>
        </w:tc>
        <w:tc>
          <w:tcPr>
            <w:tcW w:w="1001" w:type="dxa"/>
            <w:tcBorders>
              <w:left w:val="single" w:sz="6" w:space="0" w:color="auto"/>
            </w:tcBorders>
          </w:tcPr>
          <w:p w14:paraId="225EF92B" w14:textId="77777777" w:rsidR="00B72890" w:rsidRPr="002A4C75" w:rsidRDefault="00B72890">
            <w:pPr>
              <w:pStyle w:val="Level111G1"/>
              <w:rPr>
                <w:sz w:val="32"/>
                <w:szCs w:val="32"/>
              </w:rPr>
            </w:pPr>
          </w:p>
        </w:tc>
        <w:tc>
          <w:tcPr>
            <w:tcW w:w="1001" w:type="dxa"/>
            <w:tcBorders>
              <w:left w:val="single" w:sz="6" w:space="0" w:color="auto"/>
            </w:tcBorders>
          </w:tcPr>
          <w:p w14:paraId="3089A842" w14:textId="77777777" w:rsidR="00B72890" w:rsidRPr="002A4C75" w:rsidRDefault="00B72890">
            <w:pPr>
              <w:pStyle w:val="Level111G1"/>
              <w:rPr>
                <w:sz w:val="32"/>
                <w:szCs w:val="32"/>
              </w:rPr>
            </w:pPr>
          </w:p>
        </w:tc>
      </w:tr>
      <w:tr w:rsidR="00B72890" w:rsidRPr="00FB5173" w14:paraId="24E06DF0" w14:textId="77777777" w:rsidTr="008D4DC4">
        <w:trPr>
          <w:cantSplit/>
          <w:trHeight w:val="4626"/>
        </w:trPr>
        <w:tc>
          <w:tcPr>
            <w:tcW w:w="6948" w:type="dxa"/>
          </w:tcPr>
          <w:p w14:paraId="68462CD6" w14:textId="77777777" w:rsidR="00B72890" w:rsidRPr="00404F05" w:rsidRDefault="001B1506" w:rsidP="008D4DC4">
            <w:pPr>
              <w:pStyle w:val="Level111G1"/>
              <w:spacing w:before="0" w:after="0"/>
              <w:ind w:left="907" w:hanging="907"/>
            </w:pPr>
            <w:r w:rsidRPr="00404F05">
              <w:tab/>
              <w:t>7.8</w:t>
            </w:r>
            <w:r w:rsidRPr="00404F05">
              <w:tab/>
              <w:t xml:space="preserve">Close the file. See the </w:t>
            </w:r>
            <w:r w:rsidRPr="00404F05">
              <w:rPr>
                <w:bCs/>
                <w:smallCaps/>
              </w:rPr>
              <w:t xml:space="preserve">client </w:t>
            </w:r>
            <w:r w:rsidRPr="00404F05">
              <w:rPr>
                <w:smallCaps/>
              </w:rPr>
              <w:t>file opening and closing</w:t>
            </w:r>
            <w:r w:rsidRPr="00404F05">
              <w:t xml:space="preserve"> (A-2) checklist.</w:t>
            </w:r>
          </w:p>
        </w:tc>
        <w:tc>
          <w:tcPr>
            <w:tcW w:w="450" w:type="dxa"/>
            <w:tcBorders>
              <w:left w:val="single" w:sz="6" w:space="0" w:color="auto"/>
            </w:tcBorders>
          </w:tcPr>
          <w:p w14:paraId="6732FC69"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2A0A2CDA" w14:textId="77777777" w:rsidR="00B72890" w:rsidRPr="002A4C75" w:rsidRDefault="00B72890" w:rsidP="008D4DC4">
            <w:pPr>
              <w:pStyle w:val="Level111G1"/>
              <w:spacing w:before="0" w:after="0"/>
              <w:ind w:left="907" w:hanging="907"/>
              <w:rPr>
                <w:sz w:val="32"/>
                <w:szCs w:val="32"/>
              </w:rPr>
            </w:pPr>
          </w:p>
        </w:tc>
        <w:tc>
          <w:tcPr>
            <w:tcW w:w="450" w:type="dxa"/>
            <w:tcBorders>
              <w:left w:val="single" w:sz="6" w:space="0" w:color="auto"/>
            </w:tcBorders>
          </w:tcPr>
          <w:p w14:paraId="63675F77"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0FC641E2" w14:textId="77777777" w:rsidR="00B72890" w:rsidRPr="002A4C75" w:rsidRDefault="00B72890" w:rsidP="008D4DC4">
            <w:pPr>
              <w:pStyle w:val="Level111G1"/>
              <w:spacing w:before="0" w:after="0"/>
              <w:ind w:left="907" w:hanging="907"/>
              <w:rPr>
                <w:sz w:val="32"/>
                <w:szCs w:val="32"/>
              </w:rPr>
            </w:pPr>
          </w:p>
        </w:tc>
        <w:tc>
          <w:tcPr>
            <w:tcW w:w="1001" w:type="dxa"/>
            <w:tcBorders>
              <w:left w:val="single" w:sz="6" w:space="0" w:color="auto"/>
            </w:tcBorders>
          </w:tcPr>
          <w:p w14:paraId="43DA32EC" w14:textId="77777777" w:rsidR="00B72890" w:rsidRPr="002A4C75" w:rsidRDefault="00B72890" w:rsidP="008D4DC4">
            <w:pPr>
              <w:pStyle w:val="Level111G1"/>
              <w:spacing w:before="0" w:after="0"/>
              <w:ind w:left="907" w:hanging="907"/>
              <w:rPr>
                <w:sz w:val="32"/>
                <w:szCs w:val="32"/>
              </w:rPr>
            </w:pPr>
          </w:p>
        </w:tc>
      </w:tr>
    </w:tbl>
    <w:p w14:paraId="50E660BC" w14:textId="77777777" w:rsidR="00B72890" w:rsidRPr="002A4C75" w:rsidRDefault="00B72890">
      <w:pPr>
        <w:pStyle w:val="NormalparagraphGN"/>
        <w:spacing w:after="0" w:line="20" w:lineRule="exact"/>
        <w:rPr>
          <w:sz w:val="32"/>
          <w:szCs w:val="32"/>
        </w:rPr>
      </w:pPr>
    </w:p>
    <w:sectPr w:rsidR="00B72890" w:rsidRPr="002A4C75">
      <w:headerReference w:type="even" r:id="rId18"/>
      <w:headerReference w:type="default" r:id="rId19"/>
      <w:footerReference w:type="even" r:id="rId20"/>
      <w:footerReference w:type="default" r:id="rId21"/>
      <w:footerReference w:type="first" r:id="rId22"/>
      <w:endnotePr>
        <w:numFmt w:val="decimal"/>
      </w:endnotePr>
      <w:pgSz w:w="12240" w:h="15840" w:code="1"/>
      <w:pgMar w:top="1080" w:right="720" w:bottom="630" w:left="720" w:header="360" w:footer="36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474A" w14:textId="77777777" w:rsidR="00B72890" w:rsidRDefault="00B72890">
      <w:pPr>
        <w:spacing w:line="20" w:lineRule="exact"/>
      </w:pPr>
    </w:p>
  </w:endnote>
  <w:endnote w:type="continuationSeparator" w:id="0">
    <w:p w14:paraId="1B9645FB" w14:textId="77777777" w:rsidR="00B72890" w:rsidRDefault="001B1506">
      <w:r>
        <w:t xml:space="preserve"> </w:t>
      </w:r>
    </w:p>
  </w:endnote>
  <w:endnote w:type="continuationNotice" w:id="1">
    <w:p w14:paraId="0CC99913" w14:textId="77777777" w:rsidR="00B72890" w:rsidRDefault="001B15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BACC" w14:textId="17F617F4"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r>
      <w:rPr>
        <w:rStyle w:val="PageNumber"/>
        <w:sz w:val="22"/>
      </w:rPr>
      <w:tab/>
      <w:t>11/2</w:t>
    </w:r>
    <w:r w:rsidR="002A4C75">
      <w:rPr>
        <w:rStyle w:val="PageNumber"/>
        <w:sz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3BD4" w14:textId="76E5952D"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11/2</w:t>
    </w:r>
    <w:r w:rsidR="002A4C75">
      <w:rPr>
        <w:sz w:val="22"/>
      </w:rPr>
      <w:t>3</w:t>
    </w:r>
    <w:r>
      <w:rPr>
        <w:sz w:val="22"/>
      </w:rPr>
      <w:tab/>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E41" w14:textId="77777777" w:rsidR="00DA329C" w:rsidRDefault="00DA329C">
    <w:pPr>
      <w:tabs>
        <w:tab w:val="center" w:pos="4680"/>
        <w:tab w:val="right" w:pos="9360"/>
      </w:tabs>
      <w:spacing w:after="0"/>
    </w:pPr>
    <w:bookmarkStart w:id="2" w:name="eDOCS_Footer_FirstPage"/>
    <w:r>
      <w:rPr>
        <w:rFonts w:ascii="Calibri" w:hAnsi="Calibri" w:cs="Calibri"/>
        <w:sz w:val="22"/>
      </w:rPr>
      <w:t>DM4186669</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F041" w14:textId="77777777" w:rsidR="00B72890" w:rsidRDefault="001B1506">
      <w:r>
        <w:separator/>
      </w:r>
    </w:p>
    <w:p w14:paraId="4B22ACED" w14:textId="77777777" w:rsidR="00B72890" w:rsidRDefault="00B72890"/>
    <w:p w14:paraId="0C50EC99" w14:textId="77777777" w:rsidR="00B72890" w:rsidRDefault="00B72890">
      <w:pPr>
        <w:spacing w:line="20" w:lineRule="exact"/>
      </w:pPr>
    </w:p>
    <w:p w14:paraId="17915DA9" w14:textId="77777777" w:rsidR="00B72890" w:rsidRDefault="00B72890"/>
    <w:p w14:paraId="3EC2D916" w14:textId="77777777" w:rsidR="00B72890" w:rsidRDefault="001B1506">
      <w:r>
        <w:t xml:space="preserve"> </w:t>
      </w:r>
    </w:p>
    <w:p w14:paraId="540EFFC7" w14:textId="77777777" w:rsidR="00B72890" w:rsidRDefault="00B72890"/>
    <w:p w14:paraId="5E774684" w14:textId="77777777" w:rsidR="00B72890" w:rsidRDefault="001B1506">
      <w:r>
        <w:t xml:space="preserve"> </w:t>
      </w:r>
    </w:p>
    <w:p w14:paraId="20D90BE6" w14:textId="77777777" w:rsidR="00B72890" w:rsidRDefault="00B72890"/>
    <w:p w14:paraId="41AA3725" w14:textId="77777777" w:rsidR="00B72890" w:rsidRDefault="00B72890">
      <w:pPr>
        <w:pStyle w:val="NormalparagraphGN"/>
      </w:pPr>
    </w:p>
    <w:p w14:paraId="3A124FF2" w14:textId="77777777" w:rsidR="00B72890" w:rsidRDefault="00B72890"/>
    <w:p w14:paraId="6B91D805" w14:textId="77777777" w:rsidR="00B72890" w:rsidRDefault="00B72890">
      <w:pPr>
        <w:pStyle w:val="Footer"/>
        <w:tabs>
          <w:tab w:val="clear" w:pos="0"/>
          <w:tab w:val="clear" w:pos="4320"/>
          <w:tab w:val="clear" w:pos="6840"/>
          <w:tab w:val="clear" w:pos="7272"/>
          <w:tab w:val="clear" w:pos="7704"/>
          <w:tab w:val="clear" w:pos="8136"/>
          <w:tab w:val="clear" w:pos="8640"/>
          <w:tab w:val="clear" w:pos="9144"/>
        </w:tabs>
      </w:pPr>
    </w:p>
    <w:p w14:paraId="5519213D" w14:textId="77777777" w:rsidR="00B72890" w:rsidRDefault="00B72890"/>
    <w:p w14:paraId="401D10E1" w14:textId="77777777" w:rsidR="00B72890" w:rsidRDefault="00B72890">
      <w:pPr>
        <w:pStyle w:val="NormalparagraphGN"/>
      </w:pPr>
    </w:p>
    <w:p w14:paraId="361D5AE9" w14:textId="77777777" w:rsidR="00B72890" w:rsidRDefault="00B72890"/>
    <w:p w14:paraId="1F3567F3"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A-1-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5EE19DCE" w14:textId="77777777" w:rsidR="00B72890" w:rsidRDefault="00B72890"/>
    <w:p w14:paraId="106FE173"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ASSET PURCHASE</w:t>
      </w:r>
      <w:r>
        <w:rPr>
          <w:b/>
          <w:sz w:val="22"/>
        </w:rPr>
        <w:br/>
        <w:t>PRACTICE CHECKLISTS MANUAL</w:t>
      </w:r>
      <w:r>
        <w:rPr>
          <w:b/>
          <w:sz w:val="22"/>
        </w:rPr>
        <w:tab/>
        <w:t>PROCEDURE</w:t>
      </w:r>
    </w:p>
    <w:p w14:paraId="2F28A4B0" w14:textId="77777777" w:rsidR="00B72890" w:rsidRDefault="00B72890"/>
    <w:p w14:paraId="4542B859"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2BA701F4" w14:textId="77777777" w:rsidR="00B72890" w:rsidRDefault="00B72890"/>
    <w:p w14:paraId="4102BC64"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ASSET PURCHASE AGREEMENT</w:t>
      </w:r>
      <w:r>
        <w:rPr>
          <w:b/>
          <w:sz w:val="22"/>
        </w:rPr>
        <w:br/>
        <w:t>PRACTICE CHECKLISTS MANUAL</w:t>
      </w:r>
      <w:r>
        <w:rPr>
          <w:b/>
          <w:sz w:val="22"/>
        </w:rPr>
        <w:tab/>
        <w:t>DRAFTING</w:t>
      </w:r>
    </w:p>
    <w:p w14:paraId="21021E7F" w14:textId="77777777" w:rsidR="00B72890" w:rsidRDefault="001B1506">
      <w:pPr>
        <w:pStyle w:val="Header-Notes"/>
      </w:pPr>
      <w:r>
        <w:tab/>
        <w:t>PROVISIONS TO BE CONSIDERED</w:t>
      </w:r>
      <w:r>
        <w:tab/>
        <w:t>NOTES</w:t>
      </w:r>
    </w:p>
    <w:p w14:paraId="6958C3A1" w14:textId="77777777" w:rsidR="00B72890" w:rsidRDefault="001B1506">
      <w:r>
        <w:br/>
      </w:r>
    </w:p>
    <w:p w14:paraId="0D55DAFF" w14:textId="77777777" w:rsidR="00B72890" w:rsidRDefault="00B72890"/>
    <w:p w14:paraId="31BF2481"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0CE847BA" w14:textId="77777777" w:rsidR="00B72890" w:rsidRDefault="00B72890"/>
    <w:p w14:paraId="46145C66"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 PURCHASE</w:t>
      </w:r>
      <w:r>
        <w:rPr>
          <w:b/>
          <w:sz w:val="22"/>
        </w:rPr>
        <w:br/>
        <w:t>PRACTICE CHECKLISTS MANUAL</w:t>
      </w:r>
      <w:r>
        <w:rPr>
          <w:b/>
          <w:sz w:val="22"/>
        </w:rPr>
        <w:tab/>
        <w:t>PROCEDURE</w:t>
      </w:r>
    </w:p>
    <w:p w14:paraId="162986E1" w14:textId="77777777" w:rsidR="00B72890" w:rsidRDefault="001B1506">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522826B3" w14:textId="77777777" w:rsidR="00B72890" w:rsidRDefault="001B1506">
      <w:r>
        <w:br/>
      </w:r>
    </w:p>
    <w:p w14:paraId="69618D5F" w14:textId="77777777" w:rsidR="00B72890" w:rsidRDefault="00B72890"/>
    <w:p w14:paraId="5E796860"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72A6162B" w14:textId="77777777" w:rsidR="00B72890" w:rsidRDefault="00B72890"/>
    <w:p w14:paraId="68AD7404"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 PURCHASE AGREEMENT</w:t>
      </w:r>
      <w:r>
        <w:rPr>
          <w:b/>
          <w:sz w:val="22"/>
        </w:rPr>
        <w:br/>
        <w:t>PRACTICE CHECKLISTS MANUAL</w:t>
      </w:r>
      <w:r>
        <w:rPr>
          <w:b/>
          <w:sz w:val="22"/>
        </w:rPr>
        <w:tab/>
        <w:t>DRAFTING</w:t>
      </w:r>
    </w:p>
    <w:p w14:paraId="6148BC28" w14:textId="77777777" w:rsidR="00B72890" w:rsidRDefault="001B1506">
      <w:pPr>
        <w:pStyle w:val="Header-Notes"/>
      </w:pPr>
      <w:r>
        <w:tab/>
        <w:t>PROVISIONS TO BE CONSIDERED</w:t>
      </w:r>
      <w:r>
        <w:tab/>
        <w:t>NOTES</w:t>
      </w:r>
    </w:p>
    <w:p w14:paraId="3E672A4A" w14:textId="77777777" w:rsidR="00B72890" w:rsidRDefault="001B1506">
      <w:r>
        <w:br/>
      </w:r>
    </w:p>
    <w:p w14:paraId="16CE37F8" w14:textId="77777777" w:rsidR="00B72890" w:rsidRDefault="00B72890"/>
    <w:p w14:paraId="0045EBD5"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1574E97A" w14:textId="77777777" w:rsidR="00B72890" w:rsidRDefault="00B72890"/>
    <w:p w14:paraId="412DAF69"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INCORPORATION UNDER THE B.C. COMPANY ACT</w:t>
      </w:r>
      <w:r>
        <w:rPr>
          <w:b/>
          <w:sz w:val="22"/>
        </w:rPr>
        <w:br/>
        <w:t>PRACTICE CHECKLISTS MANUAL</w:t>
      </w:r>
      <w:r>
        <w:rPr>
          <w:b/>
          <w:sz w:val="22"/>
        </w:rPr>
        <w:tab/>
        <w:t>PROCEDURE</w:t>
      </w:r>
    </w:p>
    <w:p w14:paraId="10AF18EF" w14:textId="77777777" w:rsidR="00B72890" w:rsidRDefault="001B1506">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85C40F3" w14:textId="77777777" w:rsidR="00B72890" w:rsidRDefault="001B1506">
      <w:r>
        <w:br/>
      </w:r>
    </w:p>
    <w:p w14:paraId="76345FA0" w14:textId="77777777" w:rsidR="00B72890" w:rsidRDefault="00B72890"/>
    <w:p w14:paraId="5245638D"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4B08FDC0" w14:textId="77777777" w:rsidR="00B72890" w:rsidRDefault="00B72890"/>
    <w:p w14:paraId="32FB8D50"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SHAREHOLDERS’ AGREEMENT</w:t>
      </w:r>
      <w:r>
        <w:rPr>
          <w:b/>
          <w:sz w:val="22"/>
        </w:rPr>
        <w:br/>
        <w:t>PRACTICE CHECKLISTS MANUAL</w:t>
      </w:r>
      <w:r>
        <w:rPr>
          <w:b/>
          <w:sz w:val="22"/>
        </w:rPr>
        <w:tab/>
        <w:t>PROCEDURE</w:t>
      </w:r>
    </w:p>
    <w:p w14:paraId="7768F260" w14:textId="77777777" w:rsidR="00B72890" w:rsidRDefault="001B1506">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1027558C" w14:textId="77777777" w:rsidR="00B72890" w:rsidRDefault="001B1506">
      <w:r>
        <w:br/>
      </w:r>
    </w:p>
    <w:p w14:paraId="50099B53" w14:textId="77777777" w:rsidR="00B72890" w:rsidRDefault="00B72890"/>
    <w:p w14:paraId="1B989339"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4754C3E7" w14:textId="77777777" w:rsidR="00B72890" w:rsidRDefault="00B72890"/>
    <w:p w14:paraId="19EC58BA"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SHAREHOLDERS’ AGREEMENT</w:t>
      </w:r>
      <w:r>
        <w:rPr>
          <w:b/>
          <w:sz w:val="22"/>
        </w:rPr>
        <w:br/>
        <w:t>PRACTICE CHECKLISTS MANUAL</w:t>
      </w:r>
      <w:r>
        <w:rPr>
          <w:b/>
          <w:sz w:val="22"/>
        </w:rPr>
        <w:tab/>
        <w:t>DRAFTING</w:t>
      </w:r>
    </w:p>
    <w:p w14:paraId="1B1488F3" w14:textId="77777777" w:rsidR="00B72890" w:rsidRDefault="001B1506">
      <w:pPr>
        <w:pStyle w:val="Header-Notes"/>
      </w:pPr>
      <w:r>
        <w:tab/>
        <w:t>PROVISIONS TO BE CONSIDERED</w:t>
      </w:r>
      <w:r>
        <w:tab/>
        <w:t>NOTES</w:t>
      </w:r>
    </w:p>
    <w:p w14:paraId="7DD6A0A6" w14:textId="77777777" w:rsidR="00B72890" w:rsidRDefault="001B1506">
      <w:r>
        <w:br/>
      </w:r>
    </w:p>
    <w:p w14:paraId="2DDE005C" w14:textId="77777777" w:rsidR="00B72890" w:rsidRDefault="00B72890"/>
    <w:p w14:paraId="38C08D3C"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B-7-</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4DF6F908" w14:textId="77777777" w:rsidR="00B72890" w:rsidRDefault="00B72890"/>
    <w:p w14:paraId="16BC97A1"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PARTNERSHIP AGREEMENT</w:t>
      </w:r>
      <w:r>
        <w:rPr>
          <w:b/>
          <w:sz w:val="22"/>
        </w:rPr>
        <w:br/>
        <w:t>PRACTICE CHECKLISTS MANUAL</w:t>
      </w:r>
      <w:r>
        <w:rPr>
          <w:b/>
          <w:sz w:val="22"/>
        </w:rPr>
        <w:tab/>
        <w:t>PROCEDURE</w:t>
      </w:r>
    </w:p>
    <w:p w14:paraId="5C11A84B" w14:textId="77777777" w:rsidR="00B72890" w:rsidRDefault="001B1506">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C7236EA" w14:textId="77777777" w:rsidR="00B72890" w:rsidRDefault="001B1506">
      <w:r>
        <w:br/>
      </w:r>
    </w:p>
    <w:p w14:paraId="34B1778A" w14:textId="77777777" w:rsidR="00B72890" w:rsidRDefault="00B72890"/>
    <w:p w14:paraId="1743BC62"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B-8-</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1C9EA783" w14:textId="77777777" w:rsidR="00B72890" w:rsidRDefault="00B72890"/>
    <w:p w14:paraId="0D8D1101"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PARTNERSHIP AGREEMENT</w:t>
      </w:r>
      <w:r>
        <w:rPr>
          <w:b/>
          <w:sz w:val="22"/>
        </w:rPr>
        <w:br/>
        <w:t>PRACTICE CHECKLISTS MANUAL</w:t>
      </w:r>
      <w:r>
        <w:rPr>
          <w:b/>
          <w:sz w:val="22"/>
        </w:rPr>
        <w:tab/>
        <w:t>DRAFTING</w:t>
      </w:r>
    </w:p>
    <w:p w14:paraId="77D2009E" w14:textId="77777777" w:rsidR="00B72890" w:rsidRDefault="001B1506">
      <w:pPr>
        <w:pStyle w:val="Header-Notes"/>
      </w:pPr>
      <w:r>
        <w:tab/>
        <w:t>PROVISIONS TO BE CONSIDERED</w:t>
      </w:r>
      <w:r>
        <w:tab/>
        <w:t>NOTES</w:t>
      </w:r>
    </w:p>
    <w:p w14:paraId="4E6EA283" w14:textId="77777777" w:rsidR="00B72890" w:rsidRDefault="001B1506">
      <w:r>
        <w:br/>
      </w:r>
    </w:p>
    <w:p w14:paraId="055D51D6" w14:textId="77777777" w:rsidR="00B72890" w:rsidRDefault="00B72890"/>
    <w:p w14:paraId="681934D7"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B-9-</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2A0CFB7E" w14:textId="77777777" w:rsidR="00B72890" w:rsidRDefault="00B72890"/>
    <w:p w14:paraId="4F18CD04"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COMMERCIAL LEASE</w:t>
      </w:r>
      <w:r>
        <w:rPr>
          <w:b/>
          <w:sz w:val="22"/>
        </w:rPr>
        <w:br/>
        <w:t>PRACTICE CHECKLISTS MANUAL</w:t>
      </w:r>
      <w:r>
        <w:rPr>
          <w:b/>
          <w:sz w:val="22"/>
        </w:rPr>
        <w:tab/>
        <w:t>PROCEDURE</w:t>
      </w:r>
    </w:p>
    <w:p w14:paraId="057DEDCB" w14:textId="77777777" w:rsidR="00B72890" w:rsidRDefault="001B1506">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4B184855" w14:textId="77777777" w:rsidR="00B72890" w:rsidRDefault="001B1506">
      <w:r>
        <w:br/>
      </w:r>
    </w:p>
    <w:p w14:paraId="7D9BB892" w14:textId="77777777" w:rsidR="00B72890" w:rsidRDefault="00B72890"/>
    <w:p w14:paraId="5A04B51E"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01A53850" w14:textId="77777777" w:rsidR="00B72890" w:rsidRDefault="00B72890"/>
    <w:p w14:paraId="3A6E0491"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COMMERCIAL LEASE</w:t>
      </w:r>
      <w:r>
        <w:rPr>
          <w:b/>
          <w:sz w:val="22"/>
        </w:rPr>
        <w:br/>
        <w:t>PRACTICE CHECKLISTS MANUAL</w:t>
      </w:r>
      <w:r>
        <w:rPr>
          <w:b/>
          <w:sz w:val="22"/>
        </w:rPr>
        <w:tab/>
        <w:t>DRAFTING</w:t>
      </w:r>
    </w:p>
    <w:p w14:paraId="29B20EA9" w14:textId="77777777" w:rsidR="00B72890" w:rsidRDefault="001B1506">
      <w:pPr>
        <w:pStyle w:val="Header-Notes"/>
      </w:pPr>
      <w:r>
        <w:tab/>
        <w:t>PROVISIONS TO BE CONSIDERED</w:t>
      </w:r>
      <w:r>
        <w:tab/>
        <w:t>NOTES</w:t>
      </w:r>
    </w:p>
    <w:p w14:paraId="2EE9427C" w14:textId="77777777" w:rsidR="00B72890" w:rsidRDefault="001B1506">
      <w:r>
        <w:br/>
      </w:r>
    </w:p>
    <w:p w14:paraId="45A867C3" w14:textId="77777777" w:rsidR="00B72890" w:rsidRDefault="00B72890"/>
    <w:p w14:paraId="68A18013"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16BB49BF" w14:textId="77777777" w:rsidR="00B72890" w:rsidRDefault="00B72890"/>
    <w:p w14:paraId="2A08ECFE"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SECURITY AGREEMENT</w:t>
      </w:r>
      <w:r>
        <w:rPr>
          <w:b/>
          <w:sz w:val="22"/>
        </w:rPr>
        <w:br/>
        <w:t>PRACTICE CHECKLISTS MANUAL</w:t>
      </w:r>
      <w:r>
        <w:rPr>
          <w:b/>
          <w:sz w:val="22"/>
        </w:rPr>
        <w:tab/>
        <w:t>PROCEDURE</w:t>
      </w:r>
    </w:p>
    <w:p w14:paraId="3378A67D" w14:textId="77777777" w:rsidR="00B72890" w:rsidRDefault="001B1506">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3697D790" w14:textId="77777777" w:rsidR="00B72890" w:rsidRDefault="001B1506">
      <w:r>
        <w:br/>
      </w:r>
    </w:p>
    <w:p w14:paraId="7A357418" w14:textId="77777777" w:rsidR="00B72890" w:rsidRDefault="00B72890"/>
    <w:p w14:paraId="6FB3B32E"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5BEDCC4B" w14:textId="77777777" w:rsidR="00B72890" w:rsidRDefault="00B72890"/>
    <w:p w14:paraId="4CC33854"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SECURITY AGREEMENT</w:t>
      </w:r>
      <w:r>
        <w:rPr>
          <w:b/>
          <w:sz w:val="22"/>
        </w:rPr>
        <w:br/>
        <w:t>PRACTICE CHECKLISTS MANUAL</w:t>
      </w:r>
      <w:r>
        <w:rPr>
          <w:b/>
          <w:sz w:val="22"/>
        </w:rPr>
        <w:tab/>
        <w:t>DRAFTING</w:t>
      </w:r>
    </w:p>
    <w:p w14:paraId="7854DB9C" w14:textId="77777777" w:rsidR="00B72890" w:rsidRDefault="001B1506">
      <w:pPr>
        <w:pStyle w:val="Header-Notes"/>
      </w:pPr>
      <w:r>
        <w:tab/>
        <w:t>PROVISIONS TO BE CONSIDERED</w:t>
      </w:r>
      <w:r>
        <w:tab/>
        <w:t>NOTES</w:t>
      </w:r>
    </w:p>
    <w:p w14:paraId="6A79DB7E" w14:textId="77777777" w:rsidR="00B72890" w:rsidRDefault="001B1506">
      <w:r>
        <w:br/>
      </w:r>
    </w:p>
    <w:p w14:paraId="5FE6594C" w14:textId="77777777" w:rsidR="00B72890" w:rsidRDefault="00B72890"/>
    <w:p w14:paraId="22FCA15C"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50C71DB6" w14:textId="77777777" w:rsidR="00B72890" w:rsidRDefault="00B72890"/>
    <w:p w14:paraId="01CBC06A"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PROBATE AND ADMINISTRATION</w:t>
      </w:r>
      <w:r>
        <w:rPr>
          <w:b/>
          <w:sz w:val="22"/>
        </w:rPr>
        <w:br/>
        <w:t>PRACTICE CHECKLISTS MANUAL</w:t>
      </w:r>
      <w:r>
        <w:rPr>
          <w:b/>
          <w:sz w:val="22"/>
        </w:rPr>
        <w:tab/>
        <w:t>PROCEDURE</w:t>
      </w:r>
    </w:p>
    <w:p w14:paraId="00A14833" w14:textId="77777777" w:rsidR="00B72890" w:rsidRDefault="001B1506">
      <w:pPr>
        <w:pStyle w:val="Header"/>
      </w:pPr>
      <w:r>
        <w:tab/>
      </w:r>
      <w:proofErr w:type="gramStart"/>
      <w:r>
        <w:t>LEGEND  —</w:t>
      </w:r>
      <w:proofErr w:type="gramEnd"/>
      <w:r>
        <w:t xml:space="preserve">  </w:t>
      </w:r>
      <w:r>
        <w:rPr>
          <w:b/>
        </w:rPr>
        <w:t>NA</w:t>
      </w:r>
      <w:r>
        <w:t xml:space="preserve"> = Not applicable    </w:t>
      </w:r>
      <w:r>
        <w:rPr>
          <w:b/>
        </w:rPr>
        <w:t>L</w:t>
      </w:r>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465B8E04" w14:textId="77777777" w:rsidR="00B72890" w:rsidRDefault="001B1506">
      <w:pPr>
        <w:spacing w:after="0"/>
        <w:ind w:right="0"/>
        <w:jc w:val="left"/>
      </w:pPr>
      <w:r>
        <w:br/>
      </w:r>
    </w:p>
    <w:p w14:paraId="416416D9" w14:textId="77777777" w:rsidR="00B72890" w:rsidRDefault="00B72890"/>
    <w:p w14:paraId="37CD630A" w14:textId="77777777" w:rsidR="00B72890" w:rsidRDefault="001B1506">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G-5-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10</w:t>
      </w:r>
      <w:r>
        <w:rPr>
          <w:rStyle w:val="PageNumber"/>
          <w:sz w:val="22"/>
        </w:rPr>
        <w:fldChar w:fldCharType="end"/>
      </w:r>
    </w:p>
    <w:p w14:paraId="5D5D5929" w14:textId="77777777" w:rsidR="00B72890" w:rsidRDefault="00B72890"/>
  </w:footnote>
  <w:footnote w:type="continuationSeparator" w:id="0">
    <w:p w14:paraId="67B10C31" w14:textId="77777777" w:rsidR="00B72890" w:rsidRDefault="001B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5C0C"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 xml:space="preserve">COMMERCIAL LEASE </w:t>
    </w:r>
    <w:r>
      <w:rPr>
        <w:b/>
        <w:sz w:val="22"/>
      </w:rPr>
      <w:tab/>
      <w:t>LAW SOCIETY OF BRITISH COLUMBIA</w:t>
    </w:r>
    <w:r>
      <w:rPr>
        <w:b/>
        <w:sz w:val="22"/>
      </w:rPr>
      <w:br/>
      <w:t xml:space="preserve">PROCEDURE </w:t>
    </w:r>
    <w:r>
      <w:rPr>
        <w:b/>
        <w:sz w:val="22"/>
      </w:rPr>
      <w:tab/>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403" w14:textId="77777777" w:rsidR="00B72890" w:rsidRDefault="001B1506">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COMMERCIAL LEASE</w:t>
    </w:r>
    <w:r>
      <w:rPr>
        <w:b/>
        <w:sz w:val="22"/>
      </w:rPr>
      <w:br/>
      <w:t>PRACTICE CHECKLISTS MANUAL</w:t>
    </w:r>
    <w:r>
      <w:rPr>
        <w:b/>
        <w:sz w:val="22"/>
      </w:rPr>
      <w:tab/>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ED4"/>
    <w:multiLevelType w:val="hybridMultilevel"/>
    <w:tmpl w:val="D256D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FF0F29"/>
    <w:multiLevelType w:val="hybridMultilevel"/>
    <w:tmpl w:val="72AE164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E14196"/>
    <w:multiLevelType w:val="hybridMultilevel"/>
    <w:tmpl w:val="2762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25A65"/>
    <w:multiLevelType w:val="hybridMultilevel"/>
    <w:tmpl w:val="4FD88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74096E"/>
    <w:multiLevelType w:val="hybridMultilevel"/>
    <w:tmpl w:val="C52E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F246FC"/>
    <w:multiLevelType w:val="hybridMultilevel"/>
    <w:tmpl w:val="E5580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CB3410"/>
    <w:multiLevelType w:val="hybridMultilevel"/>
    <w:tmpl w:val="C44E9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B278F"/>
    <w:multiLevelType w:val="hybridMultilevel"/>
    <w:tmpl w:val="A8F40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C510CD"/>
    <w:multiLevelType w:val="hybridMultilevel"/>
    <w:tmpl w:val="795C2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07C18"/>
    <w:multiLevelType w:val="hybridMultilevel"/>
    <w:tmpl w:val="B50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AF"/>
    <w:multiLevelType w:val="hybridMultilevel"/>
    <w:tmpl w:val="F52A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00003"/>
    <w:multiLevelType w:val="hybridMultilevel"/>
    <w:tmpl w:val="57B65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F3C07"/>
    <w:multiLevelType w:val="hybridMultilevel"/>
    <w:tmpl w:val="4F585CC0"/>
    <w:lvl w:ilvl="0" w:tplc="1DF82CA0">
      <w:start w:val="2"/>
      <w:numFmt w:val="lowerLetter"/>
      <w:lvlText w:val="(%1)"/>
      <w:lvlJc w:val="left"/>
      <w:pPr>
        <w:tabs>
          <w:tab w:val="num" w:pos="1575"/>
        </w:tabs>
        <w:ind w:left="1575" w:hanging="360"/>
      </w:pPr>
      <w:rPr>
        <w:rFonts w:hint="default"/>
      </w:rPr>
    </w:lvl>
    <w:lvl w:ilvl="1" w:tplc="10090019" w:tentative="1">
      <w:start w:val="1"/>
      <w:numFmt w:val="lowerLetter"/>
      <w:lvlText w:val="%2."/>
      <w:lvlJc w:val="left"/>
      <w:pPr>
        <w:tabs>
          <w:tab w:val="num" w:pos="2295"/>
        </w:tabs>
        <w:ind w:left="2295" w:hanging="360"/>
      </w:pPr>
    </w:lvl>
    <w:lvl w:ilvl="2" w:tplc="1009001B" w:tentative="1">
      <w:start w:val="1"/>
      <w:numFmt w:val="lowerRoman"/>
      <w:lvlText w:val="%3."/>
      <w:lvlJc w:val="right"/>
      <w:pPr>
        <w:tabs>
          <w:tab w:val="num" w:pos="3015"/>
        </w:tabs>
        <w:ind w:left="3015" w:hanging="180"/>
      </w:pPr>
    </w:lvl>
    <w:lvl w:ilvl="3" w:tplc="1009000F" w:tentative="1">
      <w:start w:val="1"/>
      <w:numFmt w:val="decimal"/>
      <w:lvlText w:val="%4."/>
      <w:lvlJc w:val="left"/>
      <w:pPr>
        <w:tabs>
          <w:tab w:val="num" w:pos="3735"/>
        </w:tabs>
        <w:ind w:left="3735" w:hanging="360"/>
      </w:pPr>
    </w:lvl>
    <w:lvl w:ilvl="4" w:tplc="10090019" w:tentative="1">
      <w:start w:val="1"/>
      <w:numFmt w:val="lowerLetter"/>
      <w:lvlText w:val="%5."/>
      <w:lvlJc w:val="left"/>
      <w:pPr>
        <w:tabs>
          <w:tab w:val="num" w:pos="4455"/>
        </w:tabs>
        <w:ind w:left="4455" w:hanging="360"/>
      </w:pPr>
    </w:lvl>
    <w:lvl w:ilvl="5" w:tplc="1009001B" w:tentative="1">
      <w:start w:val="1"/>
      <w:numFmt w:val="lowerRoman"/>
      <w:lvlText w:val="%6."/>
      <w:lvlJc w:val="right"/>
      <w:pPr>
        <w:tabs>
          <w:tab w:val="num" w:pos="5175"/>
        </w:tabs>
        <w:ind w:left="5175" w:hanging="180"/>
      </w:pPr>
    </w:lvl>
    <w:lvl w:ilvl="6" w:tplc="1009000F" w:tentative="1">
      <w:start w:val="1"/>
      <w:numFmt w:val="decimal"/>
      <w:lvlText w:val="%7."/>
      <w:lvlJc w:val="left"/>
      <w:pPr>
        <w:tabs>
          <w:tab w:val="num" w:pos="5895"/>
        </w:tabs>
        <w:ind w:left="5895" w:hanging="360"/>
      </w:pPr>
    </w:lvl>
    <w:lvl w:ilvl="7" w:tplc="10090019" w:tentative="1">
      <w:start w:val="1"/>
      <w:numFmt w:val="lowerLetter"/>
      <w:lvlText w:val="%8."/>
      <w:lvlJc w:val="left"/>
      <w:pPr>
        <w:tabs>
          <w:tab w:val="num" w:pos="6615"/>
        </w:tabs>
        <w:ind w:left="6615" w:hanging="360"/>
      </w:pPr>
    </w:lvl>
    <w:lvl w:ilvl="8" w:tplc="1009001B" w:tentative="1">
      <w:start w:val="1"/>
      <w:numFmt w:val="lowerRoman"/>
      <w:lvlText w:val="%9."/>
      <w:lvlJc w:val="right"/>
      <w:pPr>
        <w:tabs>
          <w:tab w:val="num" w:pos="7335"/>
        </w:tabs>
        <w:ind w:left="7335" w:hanging="180"/>
      </w:pPr>
    </w:lvl>
  </w:abstractNum>
  <w:abstractNum w:abstractNumId="13" w15:restartNumberingAfterBreak="0">
    <w:nsid w:val="28AF7600"/>
    <w:multiLevelType w:val="hybridMultilevel"/>
    <w:tmpl w:val="19E26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1934A0"/>
    <w:multiLevelType w:val="hybridMultilevel"/>
    <w:tmpl w:val="EC40D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366E0A"/>
    <w:multiLevelType w:val="hybridMultilevel"/>
    <w:tmpl w:val="E750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A2190"/>
    <w:multiLevelType w:val="hybridMultilevel"/>
    <w:tmpl w:val="1AD48E0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D66AD5"/>
    <w:multiLevelType w:val="hybridMultilevel"/>
    <w:tmpl w:val="6728F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D42C5F"/>
    <w:multiLevelType w:val="hybridMultilevel"/>
    <w:tmpl w:val="CB6449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87569EB"/>
    <w:multiLevelType w:val="hybridMultilevel"/>
    <w:tmpl w:val="4FEC8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F44769"/>
    <w:multiLevelType w:val="hybridMultilevel"/>
    <w:tmpl w:val="9468D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C3914"/>
    <w:multiLevelType w:val="hybridMultilevel"/>
    <w:tmpl w:val="6DF82FA4"/>
    <w:lvl w:ilvl="0" w:tplc="D77A25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658D3"/>
    <w:multiLevelType w:val="hybridMultilevel"/>
    <w:tmpl w:val="B0100410"/>
    <w:lvl w:ilvl="0" w:tplc="DD14CF98">
      <w:start w:val="7"/>
      <w:numFmt w:val="lowerLetter"/>
      <w:lvlText w:val="(%1)"/>
      <w:lvlJc w:val="left"/>
      <w:pPr>
        <w:tabs>
          <w:tab w:val="num" w:pos="1575"/>
        </w:tabs>
        <w:ind w:left="1575" w:hanging="360"/>
      </w:pPr>
      <w:rPr>
        <w:rFonts w:hint="default"/>
      </w:rPr>
    </w:lvl>
    <w:lvl w:ilvl="1" w:tplc="10090019" w:tentative="1">
      <w:start w:val="1"/>
      <w:numFmt w:val="lowerLetter"/>
      <w:lvlText w:val="%2."/>
      <w:lvlJc w:val="left"/>
      <w:pPr>
        <w:tabs>
          <w:tab w:val="num" w:pos="2295"/>
        </w:tabs>
        <w:ind w:left="2295" w:hanging="360"/>
      </w:pPr>
    </w:lvl>
    <w:lvl w:ilvl="2" w:tplc="1009001B" w:tentative="1">
      <w:start w:val="1"/>
      <w:numFmt w:val="lowerRoman"/>
      <w:lvlText w:val="%3."/>
      <w:lvlJc w:val="right"/>
      <w:pPr>
        <w:tabs>
          <w:tab w:val="num" w:pos="3015"/>
        </w:tabs>
        <w:ind w:left="3015" w:hanging="180"/>
      </w:pPr>
    </w:lvl>
    <w:lvl w:ilvl="3" w:tplc="1009000F" w:tentative="1">
      <w:start w:val="1"/>
      <w:numFmt w:val="decimal"/>
      <w:lvlText w:val="%4."/>
      <w:lvlJc w:val="left"/>
      <w:pPr>
        <w:tabs>
          <w:tab w:val="num" w:pos="3735"/>
        </w:tabs>
        <w:ind w:left="3735" w:hanging="360"/>
      </w:pPr>
    </w:lvl>
    <w:lvl w:ilvl="4" w:tplc="10090019" w:tentative="1">
      <w:start w:val="1"/>
      <w:numFmt w:val="lowerLetter"/>
      <w:lvlText w:val="%5."/>
      <w:lvlJc w:val="left"/>
      <w:pPr>
        <w:tabs>
          <w:tab w:val="num" w:pos="4455"/>
        </w:tabs>
        <w:ind w:left="4455" w:hanging="360"/>
      </w:pPr>
    </w:lvl>
    <w:lvl w:ilvl="5" w:tplc="1009001B" w:tentative="1">
      <w:start w:val="1"/>
      <w:numFmt w:val="lowerRoman"/>
      <w:lvlText w:val="%6."/>
      <w:lvlJc w:val="right"/>
      <w:pPr>
        <w:tabs>
          <w:tab w:val="num" w:pos="5175"/>
        </w:tabs>
        <w:ind w:left="5175" w:hanging="180"/>
      </w:pPr>
    </w:lvl>
    <w:lvl w:ilvl="6" w:tplc="1009000F" w:tentative="1">
      <w:start w:val="1"/>
      <w:numFmt w:val="decimal"/>
      <w:lvlText w:val="%7."/>
      <w:lvlJc w:val="left"/>
      <w:pPr>
        <w:tabs>
          <w:tab w:val="num" w:pos="5895"/>
        </w:tabs>
        <w:ind w:left="5895" w:hanging="360"/>
      </w:pPr>
    </w:lvl>
    <w:lvl w:ilvl="7" w:tplc="10090019" w:tentative="1">
      <w:start w:val="1"/>
      <w:numFmt w:val="lowerLetter"/>
      <w:lvlText w:val="%8."/>
      <w:lvlJc w:val="left"/>
      <w:pPr>
        <w:tabs>
          <w:tab w:val="num" w:pos="6615"/>
        </w:tabs>
        <w:ind w:left="6615" w:hanging="360"/>
      </w:pPr>
    </w:lvl>
    <w:lvl w:ilvl="8" w:tplc="1009001B" w:tentative="1">
      <w:start w:val="1"/>
      <w:numFmt w:val="lowerRoman"/>
      <w:lvlText w:val="%9."/>
      <w:lvlJc w:val="right"/>
      <w:pPr>
        <w:tabs>
          <w:tab w:val="num" w:pos="7335"/>
        </w:tabs>
        <w:ind w:left="7335" w:hanging="180"/>
      </w:pPr>
    </w:lvl>
  </w:abstractNum>
  <w:abstractNum w:abstractNumId="23" w15:restartNumberingAfterBreak="0">
    <w:nsid w:val="597F2036"/>
    <w:multiLevelType w:val="hybridMultilevel"/>
    <w:tmpl w:val="8450941E"/>
    <w:lvl w:ilvl="0" w:tplc="61686452">
      <w:start w:val="1"/>
      <w:numFmt w:val="bullet"/>
      <w:pStyle w:val="TBTableBulletLevel1"/>
      <w:lvlText w:val=""/>
      <w:lvlJc w:val="left"/>
      <w:pPr>
        <w:tabs>
          <w:tab w:val="num" w:pos="720"/>
        </w:tabs>
        <w:ind w:left="720" w:hanging="360"/>
      </w:pPr>
      <w:rPr>
        <w:rFonts w:ascii="Symbol" w:hAnsi="Symbol" w:hint="default"/>
      </w:rPr>
    </w:lvl>
    <w:lvl w:ilvl="1" w:tplc="35986D24">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53C5E"/>
    <w:multiLevelType w:val="multilevel"/>
    <w:tmpl w:val="2548C5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5" w15:restartNumberingAfterBreak="0">
    <w:nsid w:val="5D153360"/>
    <w:multiLevelType w:val="hybridMultilevel"/>
    <w:tmpl w:val="38BC1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D6402"/>
    <w:multiLevelType w:val="hybridMultilevel"/>
    <w:tmpl w:val="FCCE19E4"/>
    <w:name w:val="(Unnamed Numbering Schem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877FB"/>
    <w:multiLevelType w:val="hybridMultilevel"/>
    <w:tmpl w:val="4DCCF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1D7DC9"/>
    <w:multiLevelType w:val="hybridMultilevel"/>
    <w:tmpl w:val="B5E6B4C0"/>
    <w:lvl w:ilvl="0" w:tplc="22C8D1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8339B"/>
    <w:multiLevelType w:val="hybridMultilevel"/>
    <w:tmpl w:val="2A80E5A6"/>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9286A"/>
    <w:multiLevelType w:val="hybridMultilevel"/>
    <w:tmpl w:val="0CCE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03034"/>
    <w:multiLevelType w:val="hybridMultilevel"/>
    <w:tmpl w:val="E4540A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22"/>
  </w:num>
  <w:num w:numId="7">
    <w:abstractNumId w:val="16"/>
  </w:num>
  <w:num w:numId="8">
    <w:abstractNumId w:val="28"/>
  </w:num>
  <w:num w:numId="9">
    <w:abstractNumId w:val="26"/>
  </w:num>
  <w:num w:numId="10">
    <w:abstractNumId w:val="23"/>
  </w:num>
  <w:num w:numId="11">
    <w:abstractNumId w:val="13"/>
  </w:num>
  <w:num w:numId="12">
    <w:abstractNumId w:val="2"/>
  </w:num>
  <w:num w:numId="13">
    <w:abstractNumId w:val="29"/>
  </w:num>
  <w:num w:numId="14">
    <w:abstractNumId w:val="21"/>
  </w:num>
  <w:num w:numId="15">
    <w:abstractNumId w:val="25"/>
  </w:num>
  <w:num w:numId="16">
    <w:abstractNumId w:val="30"/>
  </w:num>
  <w:num w:numId="17">
    <w:abstractNumId w:val="15"/>
  </w:num>
  <w:num w:numId="18">
    <w:abstractNumId w:val="10"/>
  </w:num>
  <w:num w:numId="19">
    <w:abstractNumId w:val="9"/>
  </w:num>
  <w:num w:numId="20">
    <w:abstractNumId w:val="11"/>
  </w:num>
  <w:num w:numId="21">
    <w:abstractNumId w:val="8"/>
  </w:num>
  <w:num w:numId="22">
    <w:abstractNumId w:val="6"/>
  </w:num>
  <w:num w:numId="23">
    <w:abstractNumId w:val="20"/>
  </w:num>
  <w:num w:numId="24">
    <w:abstractNumId w:val="14"/>
  </w:num>
  <w:num w:numId="25">
    <w:abstractNumId w:val="31"/>
  </w:num>
  <w:num w:numId="26">
    <w:abstractNumId w:val="5"/>
  </w:num>
  <w:num w:numId="27">
    <w:abstractNumId w:val="27"/>
  </w:num>
  <w:num w:numId="28">
    <w:abstractNumId w:val="19"/>
  </w:num>
  <w:num w:numId="29">
    <w:abstractNumId w:val="7"/>
  </w:num>
  <w:num w:numId="30">
    <w:abstractNumId w:val="17"/>
  </w:num>
  <w:num w:numId="31">
    <w:abstractNumId w:val="1"/>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autoHyphenation/>
  <w:consecutiveHyphenLimit w:val="1"/>
  <w:hyphenationZone w:val="504"/>
  <w:doNotHyphenateCaps/>
  <w:evenAndOddHeader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 w:val="False"/>
    <w:docVar w:name="DocIDDateText" w:val="False"/>
    <w:docVar w:name="DocIDDraft" w:val="False"/>
    <w:docVar w:name="DocIDFileName" w:val="False"/>
    <w:docVar w:name="DocIDFooter" w:val="True"/>
    <w:docVar w:name="DocIDLibrary" w:val="True"/>
    <w:docVar w:name="DocIDLongDate" w:val="False"/>
    <w:docVar w:name="DocIDTime" w:val="False"/>
    <w:docVar w:name="DocIDType" w:val="AllPages"/>
    <w:docVar w:name="DocIDVersion" w:val="True"/>
  </w:docVars>
  <w:rsids>
    <w:rsidRoot w:val="00B72890"/>
    <w:rsid w:val="00001E45"/>
    <w:rsid w:val="00193E31"/>
    <w:rsid w:val="001A760C"/>
    <w:rsid w:val="001B1506"/>
    <w:rsid w:val="00206C99"/>
    <w:rsid w:val="00245DED"/>
    <w:rsid w:val="002A4C75"/>
    <w:rsid w:val="002B674E"/>
    <w:rsid w:val="002C01CD"/>
    <w:rsid w:val="002F5CE2"/>
    <w:rsid w:val="003E5D8A"/>
    <w:rsid w:val="00404F05"/>
    <w:rsid w:val="00474891"/>
    <w:rsid w:val="005110B6"/>
    <w:rsid w:val="006A5A5E"/>
    <w:rsid w:val="006C6D0E"/>
    <w:rsid w:val="006D49EF"/>
    <w:rsid w:val="007043DC"/>
    <w:rsid w:val="007247F3"/>
    <w:rsid w:val="0078628D"/>
    <w:rsid w:val="007B3B26"/>
    <w:rsid w:val="008A16F5"/>
    <w:rsid w:val="008B4C71"/>
    <w:rsid w:val="008D4DC4"/>
    <w:rsid w:val="009A28B2"/>
    <w:rsid w:val="00AE5BD1"/>
    <w:rsid w:val="00B558DC"/>
    <w:rsid w:val="00B72890"/>
    <w:rsid w:val="00C16A6F"/>
    <w:rsid w:val="00C460CF"/>
    <w:rsid w:val="00D47154"/>
    <w:rsid w:val="00D47CFF"/>
    <w:rsid w:val="00D72DC6"/>
    <w:rsid w:val="00DA329C"/>
    <w:rsid w:val="00DE7129"/>
    <w:rsid w:val="00E82752"/>
    <w:rsid w:val="00EA2A01"/>
    <w:rsid w:val="00F70912"/>
    <w:rsid w:val="00F97C76"/>
    <w:rsid w:val="00FB5173"/>
    <w:rsid w:val="00FC08D5"/>
    <w:rsid w:val="00F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bar" w:pos="6840"/>
        <w:tab w:val="bar" w:pos="7272"/>
        <w:tab w:val="bar" w:pos="7704"/>
        <w:tab w:val="bar" w:pos="8136"/>
        <w:tab w:val="bar" w:pos="9144"/>
      </w:tabs>
      <w:overflowPunct w:val="0"/>
      <w:autoSpaceDE w:val="0"/>
      <w:autoSpaceDN w:val="0"/>
      <w:adjustRightInd w:val="0"/>
      <w:spacing w:after="120"/>
      <w:ind w:right="3600"/>
      <w:jc w:val="both"/>
      <w:textAlignment w:val="baseline"/>
    </w:pPr>
  </w:style>
  <w:style w:type="paragraph" w:styleId="Heading1">
    <w:name w:val="heading 1"/>
    <w:basedOn w:val="Normal"/>
    <w:next w:val="Normal"/>
    <w:link w:val="Heading1Char"/>
    <w:qFormat/>
    <w:pPr>
      <w:keepNext/>
      <w:spacing w:before="240" w:after="60"/>
      <w:outlineLvl w:val="0"/>
    </w:pPr>
    <w:rPr>
      <w:rFonts w:ascii="Cambria" w:eastAsia="SimSun" w:hAnsi="Cambria"/>
      <w:b/>
      <w:bCs/>
      <w:kern w:val="32"/>
      <w:sz w:val="32"/>
      <w:szCs w:val="32"/>
    </w:rPr>
  </w:style>
  <w:style w:type="paragraph" w:styleId="Heading6">
    <w:name w:val="heading 6"/>
    <w:basedOn w:val="Normal"/>
    <w:next w:val="Normal"/>
    <w:qFormat/>
    <w:pPr>
      <w:tabs>
        <w:tab w:val="left" w:pos="0"/>
        <w:tab w:val="right" w:pos="11160"/>
      </w:tabs>
      <w:suppressAutoHyphens/>
      <w:outlineLvl w:val="5"/>
    </w:pPr>
    <w:rPr>
      <w:rFonts w:ascii="Times" w:hAnsi="Times"/>
      <w:b/>
      <w:smallCaps/>
      <w:sz w:val="22"/>
    </w:rPr>
  </w:style>
  <w:style w:type="paragraph" w:styleId="Heading7">
    <w:name w:val="heading 7"/>
    <w:basedOn w:val="Normal"/>
    <w:next w:val="Normal"/>
    <w:qFormat/>
    <w:pPr>
      <w:keepNext/>
      <w:keepLines/>
      <w:tabs>
        <w:tab w:val="left" w:pos="0"/>
        <w:tab w:val="right" w:pos="11160"/>
      </w:tabs>
      <w:suppressAutoHyphens/>
      <w:outlineLvl w:val="6"/>
    </w:pPr>
    <w:rPr>
      <w:rFonts w:ascii="Times" w:hAnsi="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ItalicsI1">
    <w:name w:val="Italics=I1"/>
    <w:rPr>
      <w:rFonts w:ascii="Times New Roman" w:hAnsi="Times New Roman"/>
      <w:i/>
      <w:sz w:val="20"/>
    </w:rPr>
  </w:style>
  <w:style w:type="paragraph" w:customStyle="1" w:styleId="Level2">
    <w:name w:val="Level 2"/>
    <w:basedOn w:val="Level111G1"/>
    <w:pPr>
      <w:tabs>
        <w:tab w:val="clear" w:pos="810"/>
        <w:tab w:val="clear" w:pos="900"/>
        <w:tab w:val="right" w:pos="1080"/>
        <w:tab w:val="left" w:pos="1170"/>
      </w:tabs>
      <w:spacing w:before="40" w:after="80"/>
      <w:ind w:left="1170" w:hanging="1170"/>
    </w:pPr>
  </w:style>
  <w:style w:type="paragraph" w:customStyle="1" w:styleId="Level111G1">
    <w:name w:val="Level 1 (1.1)=G1"/>
    <w:pPr>
      <w:tabs>
        <w:tab w:val="right" w:pos="810"/>
        <w:tab w:val="left" w:pos="900"/>
      </w:tabs>
      <w:overflowPunct w:val="0"/>
      <w:autoSpaceDE w:val="0"/>
      <w:autoSpaceDN w:val="0"/>
      <w:adjustRightInd w:val="0"/>
      <w:spacing w:before="60" w:after="60"/>
      <w:ind w:left="900" w:hanging="900"/>
      <w:jc w:val="both"/>
      <w:textAlignment w:val="baseline"/>
    </w:pPr>
    <w:rPr>
      <w:spacing w:val="-3"/>
    </w:rPr>
  </w:style>
  <w:style w:type="paragraph" w:customStyle="1" w:styleId="RunningHead">
    <w:name w:val="Running Head"/>
    <w:pPr>
      <w:tabs>
        <w:tab w:val="left" w:pos="0"/>
        <w:tab w:val="left" w:pos="1296"/>
      </w:tabs>
      <w:suppressAutoHyphens/>
      <w:overflowPunct w:val="0"/>
      <w:autoSpaceDE w:val="0"/>
      <w:autoSpaceDN w:val="0"/>
      <w:adjustRightInd w:val="0"/>
      <w:textAlignment w:val="baseline"/>
    </w:pPr>
    <w:rPr>
      <w:rFonts w:ascii="Times" w:hAnsi="Times"/>
      <w:b/>
      <w:smallCaps/>
      <w:sz w:val="22"/>
    </w:rPr>
  </w:style>
  <w:style w:type="paragraph" w:customStyle="1" w:styleId="RunningFoot">
    <w:name w:val="Running Foot"/>
    <w:pPr>
      <w:tabs>
        <w:tab w:val="left" w:pos="0"/>
        <w:tab w:val="left" w:pos="1296"/>
      </w:tabs>
      <w:suppressAutoHyphens/>
      <w:overflowPunct w:val="0"/>
      <w:autoSpaceDE w:val="0"/>
      <w:autoSpaceDN w:val="0"/>
      <w:adjustRightInd w:val="0"/>
      <w:textAlignment w:val="baseline"/>
    </w:pPr>
    <w:rPr>
      <w:rFonts w:ascii="Times" w:hAnsi="Times"/>
      <w:sz w:val="22"/>
    </w:rPr>
  </w:style>
  <w:style w:type="paragraph" w:customStyle="1" w:styleId="NumberedheadingGH">
    <w:name w:val="Numbered heading=GH"/>
    <w:pPr>
      <w:keepNext/>
      <w:keepLines/>
      <w:tabs>
        <w:tab w:val="left" w:pos="0"/>
        <w:tab w:val="left" w:pos="450"/>
      </w:tabs>
      <w:suppressAutoHyphens/>
      <w:overflowPunct w:val="0"/>
      <w:autoSpaceDE w:val="0"/>
      <w:autoSpaceDN w:val="0"/>
      <w:adjustRightInd w:val="0"/>
      <w:spacing w:before="200" w:after="60"/>
      <w:ind w:left="450" w:hanging="450"/>
      <w:textAlignment w:val="baseline"/>
    </w:pPr>
    <w:rPr>
      <w:b/>
      <w:caps/>
      <w:spacing w:val="-3"/>
    </w:rPr>
  </w:style>
  <w:style w:type="paragraph" w:customStyle="1" w:styleId="TableofContents">
    <w:name w:val="Table of Contents"/>
    <w:basedOn w:val="Normal"/>
    <w:pPr>
      <w:tabs>
        <w:tab w:val="clear" w:pos="6840"/>
        <w:tab w:val="clear" w:pos="7272"/>
        <w:tab w:val="clear" w:pos="7704"/>
        <w:tab w:val="clear" w:pos="8136"/>
        <w:tab w:val="clear" w:pos="9144"/>
      </w:tabs>
    </w:pPr>
    <w:rPr>
      <w:sz w:val="24"/>
    </w:rPr>
  </w:style>
  <w:style w:type="paragraph" w:customStyle="1" w:styleId="Contentslevel1GC">
    <w:name w:val="Contents level 1=GC"/>
    <w:pPr>
      <w:tabs>
        <w:tab w:val="left" w:pos="360"/>
      </w:tabs>
      <w:suppressAutoHyphens/>
      <w:overflowPunct w:val="0"/>
      <w:autoSpaceDE w:val="0"/>
      <w:autoSpaceDN w:val="0"/>
      <w:adjustRightInd w:val="0"/>
      <w:spacing w:after="60"/>
      <w:ind w:right="-18"/>
      <w:textAlignment w:val="baseline"/>
    </w:pPr>
  </w:style>
  <w:style w:type="paragraph" w:styleId="Header">
    <w:name w:val="header"/>
    <w:basedOn w:val="Normal"/>
    <w:pPr>
      <w:keepNext/>
      <w:keepLines/>
      <w:pBdr>
        <w:top w:val="single" w:sz="6" w:space="3" w:color="auto"/>
        <w:bottom w:val="single" w:sz="6" w:space="3" w:color="auto"/>
      </w:pBdr>
      <w:tabs>
        <w:tab w:val="center" w:pos="3240"/>
        <w:tab w:val="center" w:pos="7056"/>
        <w:tab w:val="center" w:pos="7488"/>
        <w:tab w:val="center" w:pos="7920"/>
        <w:tab w:val="center" w:pos="8640"/>
        <w:tab w:val="center" w:pos="9648"/>
      </w:tabs>
      <w:suppressAutoHyphens/>
      <w:spacing w:after="0"/>
      <w:ind w:right="0"/>
      <w:jc w:val="left"/>
    </w:pPr>
    <w:rPr>
      <w:rFonts w:ascii="Arial" w:hAnsi="Arial"/>
      <w:spacing w:val="-3"/>
      <w:sz w:val="16"/>
    </w:rPr>
  </w:style>
  <w:style w:type="paragraph" w:styleId="Footer">
    <w:name w:val="footer"/>
    <w:basedOn w:val="Normal"/>
    <w:pPr>
      <w:keepNext/>
      <w:keepLines/>
      <w:tabs>
        <w:tab w:val="left" w:pos="0"/>
        <w:tab w:val="center" w:pos="4320"/>
        <w:tab w:val="right" w:pos="8640"/>
      </w:tabs>
      <w:suppressAutoHyphens/>
    </w:pPr>
    <w:rPr>
      <w:spacing w:val="-3"/>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TOAHeading">
    <w:name w:val="toa heading"/>
    <w:basedOn w:val="Normal"/>
    <w:next w:val="Normal"/>
    <w:semiHidden/>
    <w:pPr>
      <w:tabs>
        <w:tab w:val="right" w:pos="9360"/>
      </w:tabs>
      <w:suppressAutoHyphens/>
    </w:pPr>
  </w:style>
  <w:style w:type="character" w:styleId="PageNumber">
    <w:name w:val="page number"/>
    <w:basedOn w:val="DefaultParagraphFont"/>
  </w:style>
  <w:style w:type="paragraph" w:customStyle="1" w:styleId="Header-Notes">
    <w:name w:val="Header - Notes"/>
    <w:basedOn w:val="Header"/>
    <w:pPr>
      <w:pBdr>
        <w:top w:val="single" w:sz="6" w:space="9" w:color="auto"/>
        <w:bottom w:val="single" w:sz="6" w:space="9" w:color="auto"/>
      </w:pBdr>
      <w:tabs>
        <w:tab w:val="clear" w:pos="7056"/>
        <w:tab w:val="clear" w:pos="7272"/>
        <w:tab w:val="clear" w:pos="7488"/>
        <w:tab w:val="clear" w:pos="7704"/>
        <w:tab w:val="clear" w:pos="7920"/>
        <w:tab w:val="clear" w:pos="8136"/>
        <w:tab w:val="clear" w:pos="8640"/>
        <w:tab w:val="clear" w:pos="9144"/>
        <w:tab w:val="clear" w:pos="9648"/>
        <w:tab w:val="center" w:pos="8424"/>
      </w:tabs>
    </w:pPr>
  </w:style>
  <w:style w:type="paragraph" w:customStyle="1" w:styleId="NormalparagraphGN">
    <w:name w:val="Normal paragraph=GN"/>
    <w:basedOn w:val="Normal"/>
    <w:link w:val="NormalparagraphGNChar"/>
    <w:pPr>
      <w:tabs>
        <w:tab w:val="clear" w:pos="6840"/>
        <w:tab w:val="clear" w:pos="7272"/>
        <w:tab w:val="clear" w:pos="7704"/>
        <w:tab w:val="clear" w:pos="8136"/>
        <w:tab w:val="clear" w:pos="9144"/>
      </w:tabs>
      <w:spacing w:after="60"/>
      <w:ind w:right="0"/>
    </w:pPr>
  </w:style>
  <w:style w:type="paragraph" w:customStyle="1" w:styleId="Nts-CenheadingNT">
    <w:name w:val="Nts - Cen. heading=NT"/>
    <w:pPr>
      <w:keepNext/>
      <w:keepLines/>
      <w:tabs>
        <w:tab w:val="left" w:pos="-720"/>
        <w:tab w:val="bar" w:pos="6840"/>
      </w:tabs>
      <w:suppressAutoHyphens/>
      <w:overflowPunct w:val="0"/>
      <w:autoSpaceDE w:val="0"/>
      <w:autoSpaceDN w:val="0"/>
      <w:adjustRightInd w:val="0"/>
      <w:spacing w:before="240" w:after="120"/>
      <w:ind w:right="3600"/>
      <w:jc w:val="center"/>
      <w:textAlignment w:val="baseline"/>
    </w:pPr>
    <w:rPr>
      <w:b/>
      <w:caps/>
    </w:rPr>
  </w:style>
  <w:style w:type="character" w:customStyle="1" w:styleId="bold">
    <w:name w:val="bold"/>
    <w:rPr>
      <w:rFonts w:ascii="Times" w:hAnsi="Times"/>
      <w:b/>
      <w:sz w:val="20"/>
    </w:rPr>
  </w:style>
  <w:style w:type="character" w:customStyle="1" w:styleId="Italics2">
    <w:name w:val="Italics2"/>
    <w:rPr>
      <w:rFonts w:ascii="Times" w:hAnsi="Times"/>
      <w:i/>
      <w:sz w:val="20"/>
    </w:rPr>
  </w:style>
  <w:style w:type="character" w:customStyle="1" w:styleId="SmallCaps2">
    <w:name w:val="Small Caps2"/>
    <w:rPr>
      <w:rFonts w:ascii="Times" w:hAnsi="Times"/>
      <w:smallCaps/>
      <w:sz w:val="20"/>
    </w:rPr>
  </w:style>
  <w:style w:type="character" w:customStyle="1" w:styleId="bold2">
    <w:name w:val="bold2"/>
    <w:rPr>
      <w:rFonts w:ascii="Times" w:hAnsi="Times"/>
      <w:b/>
      <w:sz w:val="20"/>
    </w:rPr>
  </w:style>
  <w:style w:type="character" w:customStyle="1" w:styleId="Italics1">
    <w:name w:val="Italics1"/>
    <w:rPr>
      <w:rFonts w:ascii="Times" w:hAnsi="Times"/>
      <w:i/>
      <w:sz w:val="20"/>
    </w:rPr>
  </w:style>
  <w:style w:type="paragraph" w:customStyle="1" w:styleId="Level3">
    <w:name w:val="Level 3"/>
    <w:basedOn w:val="Level2"/>
    <w:pPr>
      <w:tabs>
        <w:tab w:val="clear" w:pos="1080"/>
        <w:tab w:val="clear" w:pos="1170"/>
        <w:tab w:val="right" w:pos="1440"/>
        <w:tab w:val="left" w:pos="1530"/>
      </w:tabs>
      <w:spacing w:before="0"/>
      <w:ind w:left="1530" w:hanging="1530"/>
    </w:pPr>
  </w:style>
  <w:style w:type="character" w:customStyle="1" w:styleId="bold1">
    <w:name w:val="bold1"/>
    <w:rPr>
      <w:rFonts w:ascii="Times" w:hAnsi="Times"/>
      <w:b/>
      <w:sz w:val="20"/>
    </w:rPr>
  </w:style>
  <w:style w:type="paragraph" w:customStyle="1" w:styleId="UnderH3">
    <w:name w:val="Under H3"/>
    <w:pPr>
      <w:overflowPunct w:val="0"/>
      <w:autoSpaceDE w:val="0"/>
      <w:autoSpaceDN w:val="0"/>
      <w:adjustRightInd w:val="0"/>
      <w:spacing w:before="480" w:line="240" w:lineRule="exact"/>
      <w:jc w:val="center"/>
      <w:textAlignment w:val="baseline"/>
    </w:pPr>
    <w:rPr>
      <w:b/>
      <w:sz w:val="28"/>
    </w:rPr>
  </w:style>
  <w:style w:type="paragraph" w:customStyle="1" w:styleId="TofCHeading">
    <w:name w:val="TofC Heading"/>
    <w:pPr>
      <w:keepNext/>
      <w:overflowPunct w:val="0"/>
      <w:autoSpaceDE w:val="0"/>
      <w:autoSpaceDN w:val="0"/>
      <w:adjustRightInd w:val="0"/>
      <w:spacing w:before="480" w:after="100" w:line="240" w:lineRule="exact"/>
      <w:ind w:left="1080" w:right="1080"/>
      <w:textAlignment w:val="baseline"/>
    </w:pPr>
    <w:rPr>
      <w:b/>
      <w:sz w:val="28"/>
    </w:rPr>
  </w:style>
  <w:style w:type="paragraph" w:customStyle="1" w:styleId="mainheading">
    <w:name w:val="main heading"/>
    <w:pPr>
      <w:tabs>
        <w:tab w:val="right" w:pos="7200"/>
      </w:tabs>
      <w:overflowPunct w:val="0"/>
      <w:autoSpaceDE w:val="0"/>
      <w:autoSpaceDN w:val="0"/>
      <w:adjustRightInd w:val="0"/>
      <w:spacing w:before="480" w:after="240" w:line="240" w:lineRule="exact"/>
      <w:jc w:val="center"/>
      <w:textAlignment w:val="baseline"/>
    </w:pPr>
    <w:rPr>
      <w:b/>
      <w:sz w:val="28"/>
    </w:rPr>
  </w:style>
  <w:style w:type="paragraph" w:customStyle="1" w:styleId="TitleofSection">
    <w:name w:val="Title of Section"/>
    <w:pPr>
      <w:keepNext/>
      <w:overflowPunct w:val="0"/>
      <w:autoSpaceDE w:val="0"/>
      <w:autoSpaceDN w:val="0"/>
      <w:adjustRightInd w:val="0"/>
      <w:spacing w:before="720" w:line="240" w:lineRule="exact"/>
      <w:ind w:left="576"/>
      <w:textAlignment w:val="baseline"/>
    </w:pPr>
    <w:rPr>
      <w:b/>
      <w:caps/>
      <w:sz w:val="24"/>
    </w:rPr>
  </w:style>
  <w:style w:type="character" w:customStyle="1" w:styleId="Italics">
    <w:name w:val="Italics"/>
    <w:rPr>
      <w:rFonts w:ascii="Times" w:hAnsi="Times"/>
      <w:i/>
      <w:sz w:val="20"/>
    </w:rPr>
  </w:style>
  <w:style w:type="paragraph" w:customStyle="1" w:styleId="unformattedtext">
    <w:name w:val="unformatted text"/>
    <w:basedOn w:val="Normal"/>
    <w:pPr>
      <w:tabs>
        <w:tab w:val="clear" w:pos="6840"/>
        <w:tab w:val="clear" w:pos="7272"/>
        <w:tab w:val="clear" w:pos="7704"/>
        <w:tab w:val="clear" w:pos="8136"/>
        <w:tab w:val="clear" w:pos="9144"/>
      </w:tabs>
      <w:ind w:right="0"/>
    </w:pPr>
  </w:style>
  <w:style w:type="paragraph" w:customStyle="1" w:styleId="centre">
    <w:name w:val="centre"/>
    <w:basedOn w:val="Normal"/>
    <w:pPr>
      <w:keepNext/>
      <w:keepLines/>
      <w:tabs>
        <w:tab w:val="clear" w:pos="6840"/>
        <w:tab w:val="clear" w:pos="7272"/>
        <w:tab w:val="clear" w:pos="7704"/>
        <w:tab w:val="clear" w:pos="8136"/>
        <w:tab w:val="clear" w:pos="9144"/>
      </w:tabs>
      <w:suppressAutoHyphens/>
      <w:spacing w:before="200" w:after="60"/>
      <w:ind w:right="0"/>
      <w:jc w:val="center"/>
    </w:pPr>
    <w:rPr>
      <w:b/>
      <w:caps/>
    </w:rPr>
  </w:style>
  <w:style w:type="paragraph" w:customStyle="1" w:styleId="Level4">
    <w:name w:val="Level 4"/>
    <w:basedOn w:val="Level3"/>
    <w:pPr>
      <w:tabs>
        <w:tab w:val="clear" w:pos="1440"/>
        <w:tab w:val="clear" w:pos="1530"/>
        <w:tab w:val="right" w:pos="1710"/>
        <w:tab w:val="left" w:pos="1800"/>
      </w:tabs>
      <w:ind w:left="1800" w:hanging="1800"/>
    </w:pPr>
  </w:style>
  <w:style w:type="character" w:customStyle="1" w:styleId="SmallCapsSC">
    <w:name w:val="Small Caps=SC"/>
    <w:rPr>
      <w:rFonts w:ascii="Times New Roman" w:hAnsi="Times New Roman"/>
      <w:smallCaps/>
      <w:sz w:val="20"/>
    </w:rPr>
  </w:style>
  <w:style w:type="character" w:customStyle="1" w:styleId="SmallCaps">
    <w:name w:val="Small Caps"/>
    <w:rPr>
      <w:rFonts w:ascii="Times" w:hAnsi="Times"/>
      <w:smallCaps/>
      <w:sz w:val="20"/>
    </w:rPr>
  </w:style>
  <w:style w:type="paragraph" w:customStyle="1" w:styleId="EntryinTofC">
    <w:name w:val="Entry in TofC"/>
    <w:pPr>
      <w:tabs>
        <w:tab w:val="left" w:pos="6912"/>
      </w:tabs>
      <w:overflowPunct w:val="0"/>
      <w:autoSpaceDE w:val="0"/>
      <w:autoSpaceDN w:val="0"/>
      <w:adjustRightInd w:val="0"/>
      <w:spacing w:line="240" w:lineRule="exact"/>
      <w:ind w:left="1080" w:right="1080"/>
      <w:textAlignment w:val="baseline"/>
    </w:pPr>
    <w:rPr>
      <w:sz w:val="24"/>
    </w:rPr>
  </w:style>
  <w:style w:type="paragraph" w:customStyle="1" w:styleId="checklisttitle">
    <w:name w:val="checklist title"/>
    <w:pPr>
      <w:keepNext/>
      <w:tabs>
        <w:tab w:val="left" w:pos="6912"/>
      </w:tabs>
      <w:overflowPunct w:val="0"/>
      <w:autoSpaceDE w:val="0"/>
      <w:autoSpaceDN w:val="0"/>
      <w:adjustRightInd w:val="0"/>
      <w:spacing w:before="360" w:after="100" w:line="240" w:lineRule="exact"/>
      <w:ind w:left="1080" w:right="1080"/>
      <w:textAlignment w:val="baseline"/>
    </w:pPr>
    <w:rPr>
      <w:b/>
      <w:sz w:val="24"/>
    </w:rPr>
  </w:style>
  <w:style w:type="paragraph" w:customStyle="1" w:styleId="contentsentries">
    <w:name w:val="contents entries"/>
    <w:pPr>
      <w:tabs>
        <w:tab w:val="left" w:pos="1944"/>
      </w:tabs>
      <w:overflowPunct w:val="0"/>
      <w:autoSpaceDE w:val="0"/>
      <w:autoSpaceDN w:val="0"/>
      <w:adjustRightInd w:val="0"/>
      <w:spacing w:line="240" w:lineRule="exact"/>
      <w:ind w:left="1944" w:hanging="504"/>
      <w:textAlignment w:val="baseline"/>
    </w:pPr>
    <w:rPr>
      <w:sz w:val="22"/>
    </w:rPr>
  </w:style>
  <w:style w:type="paragraph" w:customStyle="1" w:styleId="Mainheadinginintrosectio">
    <w:name w:val="Main heading in intro sectio"/>
    <w:pPr>
      <w:keepNext/>
      <w:overflowPunct w:val="0"/>
      <w:autoSpaceDE w:val="0"/>
      <w:autoSpaceDN w:val="0"/>
      <w:adjustRightInd w:val="0"/>
      <w:spacing w:before="720" w:line="240" w:lineRule="exact"/>
      <w:jc w:val="center"/>
      <w:textAlignment w:val="baseline"/>
    </w:pPr>
    <w:rPr>
      <w:b/>
      <w:sz w:val="36"/>
    </w:rPr>
  </w:style>
  <w:style w:type="paragraph" w:customStyle="1" w:styleId="Normalflushleftparagraph">
    <w:name w:val="Normal flush left paragraph"/>
    <w:pPr>
      <w:overflowPunct w:val="0"/>
      <w:autoSpaceDE w:val="0"/>
      <w:autoSpaceDN w:val="0"/>
      <w:adjustRightInd w:val="0"/>
      <w:spacing w:before="240" w:line="240" w:lineRule="exact"/>
      <w:jc w:val="both"/>
      <w:textAlignment w:val="baseline"/>
    </w:pPr>
    <w:rPr>
      <w:sz w:val="22"/>
    </w:rPr>
  </w:style>
  <w:style w:type="paragraph" w:customStyle="1" w:styleId="H5">
    <w:name w:val="H5"/>
    <w:pPr>
      <w:overflowPunct w:val="0"/>
      <w:autoSpaceDE w:val="0"/>
      <w:autoSpaceDN w:val="0"/>
      <w:adjustRightInd w:val="0"/>
      <w:spacing w:before="720" w:line="600" w:lineRule="exact"/>
      <w:textAlignment w:val="baseline"/>
    </w:pPr>
    <w:rPr>
      <w:rFonts w:ascii="Times" w:hAnsi="Times"/>
      <w:b/>
      <w:sz w:val="36"/>
    </w:rPr>
  </w:style>
  <w:style w:type="paragraph" w:customStyle="1" w:styleId="1strowoftable">
    <w:name w:val="1st row of table"/>
    <w:basedOn w:val="Normal"/>
    <w:pPr>
      <w:tabs>
        <w:tab w:val="clear" w:pos="6840"/>
        <w:tab w:val="clear" w:pos="7272"/>
        <w:tab w:val="clear" w:pos="7704"/>
        <w:tab w:val="clear" w:pos="8136"/>
        <w:tab w:val="clear" w:pos="9144"/>
      </w:tabs>
      <w:spacing w:before="200" w:after="0"/>
      <w:ind w:right="0"/>
      <w:jc w:val="center"/>
    </w:pPr>
    <w:rPr>
      <w:rFonts w:ascii="Arial" w:hAnsi="Arial"/>
      <w:caps/>
      <w:sz w:val="16"/>
    </w:rPr>
  </w:style>
  <w:style w:type="paragraph" w:customStyle="1" w:styleId="2ndrowoftable">
    <w:name w:val="2nd row of table"/>
    <w:basedOn w:val="1strowoftable"/>
    <w:pPr>
      <w:spacing w:before="0"/>
    </w:pPr>
    <w:rPr>
      <w:sz w:val="10"/>
    </w:rPr>
  </w:style>
  <w:style w:type="character" w:styleId="Hyperlink">
    <w:name w:val="Hyperlink"/>
    <w:uiPriority w:val="99"/>
    <w:rPr>
      <w:color w:val="0000FF"/>
      <w:u w:val="single"/>
    </w:rPr>
  </w:style>
  <w:style w:type="character" w:customStyle="1" w:styleId="NormalparagraphGNChar">
    <w:name w:val="Normal paragraph=GN Char"/>
    <w:link w:val="NormalparagraphGN"/>
    <w:locked/>
    <w:rPr>
      <w:lang w:val="en-US" w:eastAsia="en-US" w:bidi="ar-SA"/>
    </w:rPr>
  </w:style>
  <w:style w:type="character" w:customStyle="1" w:styleId="DeltaViewInsertion">
    <w:name w:val="DeltaView Insertion"/>
    <w:rPr>
      <w:color w:val="0000FF"/>
      <w:spacing w:val="0"/>
      <w:u w:val="double"/>
    </w:rPr>
  </w:style>
  <w:style w:type="character" w:customStyle="1" w:styleId="AltI1Italic11pt">
    <w:name w:val="Alt+I+1=Italic 11pt"/>
    <w:rPr>
      <w:rFonts w:ascii="Garamond" w:hAnsi="Garamond"/>
      <w:i/>
      <w:noProof w:val="0"/>
      <w:sz w:val="22"/>
      <w:lang w:val="en-GB"/>
    </w:rPr>
  </w:style>
  <w:style w:type="character" w:customStyle="1" w:styleId="alti1italic11pt0">
    <w:name w:val="alti1italic11pt"/>
    <w:basedOn w:val="DefaultParagraphFont"/>
  </w:style>
  <w:style w:type="character" w:styleId="Emphasis">
    <w:name w:val="Emphasis"/>
    <w:qFormat/>
    <w:rPr>
      <w:i/>
      <w:iCs/>
    </w:rPr>
  </w:style>
  <w:style w:type="character" w:customStyle="1" w:styleId="Heading1Char">
    <w:name w:val="Heading 1 Char"/>
    <w:link w:val="Heading1"/>
    <w:rPr>
      <w:rFonts w:ascii="Cambria" w:eastAsia="SimSun" w:hAnsi="Cambria" w:cs="Times New Roman"/>
      <w:b/>
      <w:bCs/>
      <w:kern w:val="32"/>
      <w:sz w:val="32"/>
      <w:szCs w:val="32"/>
      <w:lang w:val="en-US" w:eastAsia="en-US"/>
    </w:rPr>
  </w:style>
  <w:style w:type="character" w:customStyle="1" w:styleId="DocID">
    <w:name w:val="DocID"/>
    <w:rPr>
      <w:rFonts w:ascii="Arial" w:hAnsi="Arial" w:cs="Arial"/>
      <w:b w:val="0"/>
      <w:i w:val="0"/>
      <w:caps w:val="0"/>
      <w:smallCaps/>
      <w:vanish w:val="0"/>
      <w:color w:val="000000"/>
      <w:sz w:val="14"/>
      <w:u w:val="none"/>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styleId="Strong">
    <w:name w:val="Strong"/>
    <w:uiPriority w:val="22"/>
    <w:qFormat/>
    <w:rPr>
      <w:b/>
      <w:bCs/>
    </w:rPr>
  </w:style>
  <w:style w:type="paragraph" w:customStyle="1" w:styleId="TBTableBulletLevel1">
    <w:name w:val="TB=Table Bullet Level 1"/>
    <w:basedOn w:val="Normal"/>
    <w:pPr>
      <w:numPr>
        <w:numId w:val="10"/>
      </w:numPr>
    </w:p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tabs>
        <w:tab w:val="clear" w:pos="6840"/>
        <w:tab w:val="clear" w:pos="7272"/>
        <w:tab w:val="clear" w:pos="7704"/>
        <w:tab w:val="clear" w:pos="8136"/>
        <w:tab w:val="clear" w:pos="9144"/>
      </w:tabs>
      <w:overflowPunct/>
      <w:autoSpaceDE/>
      <w:autoSpaceDN/>
      <w:adjustRightInd/>
      <w:spacing w:after="0"/>
      <w:ind w:left="720" w:right="0"/>
      <w:jc w:val="left"/>
      <w:textAlignment w:val="auto"/>
    </w:pPr>
    <w:rPr>
      <w:rFonts w:ascii="Calibri" w:eastAsia="Calibri" w:hAnsi="Calibri"/>
      <w:sz w:val="22"/>
      <w:szCs w:val="22"/>
    </w:rPr>
  </w:style>
  <w:style w:type="paragraph" w:styleId="NormalWeb">
    <w:name w:val="Normal (Web)"/>
    <w:basedOn w:val="Normal"/>
    <w:uiPriority w:val="99"/>
    <w:unhideWhenUsed/>
    <w:pPr>
      <w:tabs>
        <w:tab w:val="clear" w:pos="6840"/>
        <w:tab w:val="clear" w:pos="7272"/>
        <w:tab w:val="clear" w:pos="7704"/>
        <w:tab w:val="clear" w:pos="8136"/>
        <w:tab w:val="clear" w:pos="9144"/>
      </w:tabs>
      <w:overflowPunct/>
      <w:autoSpaceDE/>
      <w:autoSpaceDN/>
      <w:adjustRightInd/>
      <w:spacing w:after="0"/>
      <w:ind w:right="0"/>
      <w:jc w:val="left"/>
      <w:textAlignment w:val="auto"/>
    </w:pPr>
    <w:rPr>
      <w:rFonts w:eastAsia="Calibri"/>
      <w:sz w:val="24"/>
      <w:szCs w:val="24"/>
    </w:rPr>
  </w:style>
  <w:style w:type="paragraph" w:styleId="Revision">
    <w:name w:val="Revision"/>
    <w:hidden/>
    <w:uiPriority w:val="99"/>
    <w:semiHidden/>
  </w:style>
  <w:style w:type="character" w:styleId="FollowedHyperlink">
    <w:name w:val="FollowedHyperlink"/>
    <w:basedOn w:val="DefaultParagraphFont"/>
    <w:rPr>
      <w:color w:val="800080"/>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24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299">
      <w:bodyDiv w:val="1"/>
      <w:marLeft w:val="0"/>
      <w:marRight w:val="0"/>
      <w:marTop w:val="0"/>
      <w:marBottom w:val="0"/>
      <w:divBdr>
        <w:top w:val="none" w:sz="0" w:space="0" w:color="auto"/>
        <w:left w:val="none" w:sz="0" w:space="0" w:color="auto"/>
        <w:bottom w:val="none" w:sz="0" w:space="0" w:color="auto"/>
        <w:right w:val="none" w:sz="0" w:space="0" w:color="auto"/>
      </w:divBdr>
    </w:div>
    <w:div w:id="921449768">
      <w:bodyDiv w:val="1"/>
      <w:marLeft w:val="0"/>
      <w:marRight w:val="0"/>
      <w:marTop w:val="0"/>
      <w:marBottom w:val="0"/>
      <w:divBdr>
        <w:top w:val="none" w:sz="0" w:space="0" w:color="auto"/>
        <w:left w:val="none" w:sz="0" w:space="0" w:color="auto"/>
        <w:bottom w:val="none" w:sz="0" w:space="0" w:color="auto"/>
        <w:right w:val="none" w:sz="0" w:space="0" w:color="auto"/>
      </w:divBdr>
    </w:div>
    <w:div w:id="926382006">
      <w:bodyDiv w:val="1"/>
      <w:marLeft w:val="0"/>
      <w:marRight w:val="0"/>
      <w:marTop w:val="0"/>
      <w:marBottom w:val="0"/>
      <w:divBdr>
        <w:top w:val="none" w:sz="0" w:space="0" w:color="auto"/>
        <w:left w:val="none" w:sz="0" w:space="0" w:color="auto"/>
        <w:bottom w:val="none" w:sz="0" w:space="0" w:color="auto"/>
        <w:right w:val="none" w:sz="0" w:space="0" w:color="auto"/>
      </w:divBdr>
    </w:div>
    <w:div w:id="1463689884">
      <w:bodyDiv w:val="1"/>
      <w:marLeft w:val="0"/>
      <w:marRight w:val="0"/>
      <w:marTop w:val="0"/>
      <w:marBottom w:val="0"/>
      <w:divBdr>
        <w:top w:val="none" w:sz="0" w:space="0" w:color="auto"/>
        <w:left w:val="none" w:sz="0" w:space="0" w:color="auto"/>
        <w:bottom w:val="none" w:sz="0" w:space="0" w:color="auto"/>
        <w:right w:val="none" w:sz="0" w:space="0" w:color="auto"/>
      </w:divBdr>
    </w:div>
    <w:div w:id="19054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cticeadvice@lsbc.or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awsociety.bc.ca/Website/media/Shared/docs/bulletin/BB_2021-02-Summer.pdf?ext=.pdf" TargetMode="External"/><Relationship Id="rId17" Type="http://schemas.openxmlformats.org/officeDocument/2006/relationships/hyperlink" Target="https://www2.gov.bc.ca/gov/content/home" TargetMode="External"/><Relationship Id="rId2" Type="http://schemas.openxmlformats.org/officeDocument/2006/relationships/customXml" Target="../customXml/item2.xml"/><Relationship Id="rId16" Type="http://schemas.openxmlformats.org/officeDocument/2006/relationships/hyperlink" Target="https://www.canada.ca/en/services/tax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e.bc.c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awsociety.bc.ca/Website/media/Shared/docs/practice/resources/Ltrs-NonEngagement.pdf" TargetMode="External"/><Relationship Id="rId23" Type="http://schemas.openxmlformats.org/officeDocument/2006/relationships/fontTable" Target="fontTable.xml"/><Relationship Id="rId10" Type="http://schemas.openxmlformats.org/officeDocument/2006/relationships/hyperlink" Target="https://www2.gov.bc.ca/gov/content/employment-business/business/bc-companies/transparency-registe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landtransparency.ca/resources/" TargetMode="External"/><Relationship Id="rId14" Type="http://schemas.openxmlformats.org/officeDocument/2006/relationships/hyperlink" Target="https://ltsa.ca/covid-19-resour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 F i r m D o c s ! 4 5 0 7 2 0 1 6 . 1 < / d o c u m e n t i d >  
     < s e n d e r i d > D J G < / s e n d e r i d >  
     < s e n d e r e m a i l > D A V I D . G O R E @ C A . D L A P I P E R . C O M < / s e n d e r e m a i l >  
     < l a s t m o d i f i e d > 2 0 2 3 - 0 8 - 3 0 T 0 9 : 4 8 : 0 0 . 0 0 0 0 0 0 0 - 0 7 : 0 0 < / l a s t m o d i f i e d >  
     < d a t a b a s e > F i r m D o c s 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5502E-82C9-4B2E-8D29-28703846EC86}">
  <ds:schemaRefs>
    <ds:schemaRef ds:uri="http://www.imanage.com/work/xmlschema"/>
  </ds:schemaRefs>
</ds:datastoreItem>
</file>

<file path=customXml/itemProps2.xml><?xml version="1.0" encoding="utf-8"?>
<ds:datastoreItem xmlns:ds="http://schemas.openxmlformats.org/officeDocument/2006/customXml" ds:itemID="{407AA0D4-A863-4E9C-80A0-1F608622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4591</Words>
  <Characters>26092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Commercial Lease Procedure</vt:lpstr>
    </vt:vector>
  </TitlesOfParts>
  <LinksUpToDate>false</LinksUpToDate>
  <CharactersWithSpaces>30622</CharactersWithSpaces>
  <SharedDoc>false</SharedDoc>
  <HLinks>
    <vt:vector size="48" baseType="variant">
      <vt:variant>
        <vt:i4>6291573</vt:i4>
      </vt:variant>
      <vt:variant>
        <vt:i4>21</vt:i4>
      </vt:variant>
      <vt:variant>
        <vt:i4>0</vt:i4>
      </vt:variant>
      <vt:variant>
        <vt:i4>5</vt:i4>
      </vt:variant>
      <vt:variant>
        <vt:lpwstr>https://www2.gov.bc.ca/gov/content/home</vt:lpwstr>
      </vt:variant>
      <vt:variant>
        <vt:lpwstr/>
      </vt:variant>
      <vt:variant>
        <vt:i4>1769557</vt:i4>
      </vt:variant>
      <vt:variant>
        <vt:i4>18</vt:i4>
      </vt:variant>
      <vt:variant>
        <vt:i4>0</vt:i4>
      </vt:variant>
      <vt:variant>
        <vt:i4>5</vt:i4>
      </vt:variant>
      <vt:variant>
        <vt:lpwstr>https://www.canada.ca/en/services/taxes.html</vt:lpwstr>
      </vt:variant>
      <vt:variant>
        <vt:lpwstr/>
      </vt:variant>
      <vt:variant>
        <vt:i4>4980761</vt:i4>
      </vt:variant>
      <vt:variant>
        <vt:i4>15</vt:i4>
      </vt:variant>
      <vt:variant>
        <vt:i4>0</vt:i4>
      </vt:variant>
      <vt:variant>
        <vt:i4>5</vt:i4>
      </vt:variant>
      <vt:variant>
        <vt:lpwstr>https://www.lawsociety.bc.ca/Website/media/Shared/docs/practice/resources/Ltrs-NonEngagement.pdf</vt:lpwstr>
      </vt:variant>
      <vt:variant>
        <vt:lpwstr/>
      </vt:variant>
      <vt:variant>
        <vt:i4>524306</vt:i4>
      </vt:variant>
      <vt:variant>
        <vt:i4>12</vt:i4>
      </vt:variant>
      <vt:variant>
        <vt:i4>0</vt:i4>
      </vt:variant>
      <vt:variant>
        <vt:i4>5</vt:i4>
      </vt:variant>
      <vt:variant>
        <vt:lpwstr>https://www.lawsociety.bc.ca/about-us/covid-19-response/</vt:lpwstr>
      </vt:variant>
      <vt:variant>
        <vt:lpwstr/>
      </vt:variant>
      <vt:variant>
        <vt:i4>18</vt:i4>
      </vt:variant>
      <vt:variant>
        <vt:i4>9</vt:i4>
      </vt:variant>
      <vt:variant>
        <vt:i4>0</vt:i4>
      </vt:variant>
      <vt:variant>
        <vt:i4>5</vt:i4>
      </vt:variant>
      <vt:variant>
        <vt:lpwstr>http://www.cle.bc.ca/</vt:lpwstr>
      </vt:variant>
      <vt:variant>
        <vt:lpwstr/>
      </vt:variant>
      <vt:variant>
        <vt:i4>4718594</vt:i4>
      </vt:variant>
      <vt:variant>
        <vt:i4>6</vt:i4>
      </vt:variant>
      <vt:variant>
        <vt:i4>0</vt:i4>
      </vt:variant>
      <vt:variant>
        <vt:i4>5</vt:i4>
      </vt:variant>
      <vt:variant>
        <vt:lpwstr>http://www.labrc.com/</vt:lpwstr>
      </vt:variant>
      <vt:variant>
        <vt:lpwstr/>
      </vt:variant>
      <vt:variant>
        <vt:i4>4718701</vt:i4>
      </vt:variant>
      <vt:variant>
        <vt:i4>3</vt:i4>
      </vt:variant>
      <vt:variant>
        <vt:i4>0</vt:i4>
      </vt:variant>
      <vt:variant>
        <vt:i4>5</vt:i4>
      </vt:variant>
      <vt:variant>
        <vt:lpwstr>mailto:practiceadvice@lsbc.org</vt:lpwstr>
      </vt:variant>
      <vt:variant>
        <vt:lpwstr/>
      </vt:variant>
      <vt:variant>
        <vt:i4>4063328</vt:i4>
      </vt:variant>
      <vt:variant>
        <vt:i4>0</vt:i4>
      </vt:variant>
      <vt:variant>
        <vt:i4>0</vt:i4>
      </vt:variant>
      <vt:variant>
        <vt:i4>5</vt:i4>
      </vt:variant>
      <vt:variant>
        <vt:lpwstr>https://ltsa.ca/covid-19-resources/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Procedure</dc:title>
  <dc:creator/>
  <cp:lastModifiedBy/>
  <cp:revision>1</cp:revision>
  <dcterms:created xsi:type="dcterms:W3CDTF">2024-01-29T19:51:00Z</dcterms:created>
  <dcterms:modified xsi:type="dcterms:W3CDTF">2024-01-29T19:51:00Z</dcterms:modified>
</cp:coreProperties>
</file>