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69DDB742" w:rsidR="00DF5F59" w:rsidRDefault="00DF5F59" w:rsidP="00644A0B">
      <w:pPr>
        <w:spacing w:before="80" w:after="80"/>
        <w:ind w:right="450"/>
        <w:jc w:val="both"/>
        <w:rPr>
          <w:rFonts w:ascii="Times New Roman" w:hAnsi="Times New Roman" w:cs="Times New Roman"/>
          <w:lang w:val="en-US"/>
        </w:rPr>
      </w:pPr>
      <w:r w:rsidRPr="00E63554">
        <w:rPr>
          <w:rFonts w:ascii="Times New Roman" w:hAnsi="Times New Roman" w:cs="Times New Roman"/>
          <w:b/>
          <w:bCs/>
          <w:caps/>
        </w:rPr>
        <w:t>P</w:t>
      </w:r>
      <w:r w:rsidRPr="00E63554">
        <w:rPr>
          <w:rFonts w:ascii="Times New Roman" w:hAnsi="Times New Roman" w:cs="Times New Roman"/>
          <w:b/>
          <w:bCs/>
        </w:rPr>
        <w:t>urpose and currency of checklist.</w:t>
      </w:r>
      <w:r w:rsidRPr="00E63554">
        <w:rPr>
          <w:rFonts w:ascii="Times New Roman" w:hAnsi="Times New Roman" w:cs="Times New Roman"/>
        </w:rPr>
        <w:t xml:space="preserve"> </w:t>
      </w:r>
      <w:r w:rsidR="00E63554" w:rsidRPr="00E63554">
        <w:rPr>
          <w:rFonts w:ascii="Times New Roman" w:hAnsi="Times New Roman" w:cs="Times New Roman"/>
          <w:bCs/>
        </w:rPr>
        <w:t xml:space="preserve">This checklist is designed to be used with the </w:t>
      </w:r>
      <w:r w:rsidR="00E63554" w:rsidRPr="00E63554">
        <w:rPr>
          <w:rFonts w:ascii="Times New Roman" w:hAnsi="Times New Roman" w:cs="Times New Roman"/>
          <w:bCs/>
          <w:smallCaps/>
        </w:rPr>
        <w:t>client identification, verification, and source of money</w:t>
      </w:r>
      <w:r w:rsidR="00E63554" w:rsidRPr="00E63554">
        <w:rPr>
          <w:rFonts w:ascii="Times New Roman" w:hAnsi="Times New Roman" w:cs="Times New Roman"/>
          <w:bCs/>
        </w:rPr>
        <w:t xml:space="preserve"> (A-1), </w:t>
      </w:r>
      <w:r w:rsidR="00E63554" w:rsidRPr="00E63554">
        <w:rPr>
          <w:rFonts w:ascii="Times New Roman" w:hAnsi="Times New Roman" w:cs="Times New Roman"/>
          <w:bCs/>
          <w:smallCaps/>
        </w:rPr>
        <w:t xml:space="preserve">client </w:t>
      </w:r>
      <w:r w:rsidR="00E63554" w:rsidRPr="00E63554">
        <w:rPr>
          <w:rFonts w:ascii="Times New Roman" w:hAnsi="Times New Roman" w:cs="Times New Roman"/>
          <w:smallCaps/>
        </w:rPr>
        <w:t>file opening and closing</w:t>
      </w:r>
      <w:r w:rsidR="00E63554" w:rsidRPr="00E63554">
        <w:rPr>
          <w:rFonts w:ascii="Times New Roman" w:hAnsi="Times New Roman" w:cs="Times New Roman"/>
          <w:bCs/>
        </w:rPr>
        <w:t xml:space="preserve"> (A-2), and</w:t>
      </w:r>
      <w:r w:rsidR="00E63554" w:rsidRPr="00E63554">
        <w:rPr>
          <w:rFonts w:ascii="Times New Roman" w:hAnsi="Times New Roman" w:cs="Times New Roman"/>
        </w:rPr>
        <w:t xml:space="preserve"> </w:t>
      </w:r>
      <w:r w:rsidR="00E63554" w:rsidRPr="00E63554">
        <w:rPr>
          <w:rFonts w:ascii="Times New Roman" w:hAnsi="Times New Roman" w:cs="Times New Roman"/>
          <w:smallCaps/>
        </w:rPr>
        <w:t>shareholders’ agreement drafting</w:t>
      </w:r>
      <w:r w:rsidR="00E63554" w:rsidRPr="00E63554">
        <w:rPr>
          <w:rFonts w:ascii="Times New Roman" w:hAnsi="Times New Roman" w:cs="Times New Roman"/>
        </w:rPr>
        <w:t xml:space="preserve"> (B-7) checklists. It deals with companies governed by the British Columbia</w:t>
      </w:r>
      <w:r w:rsidR="00E63554" w:rsidRPr="00E63554">
        <w:rPr>
          <w:rStyle w:val="ItalicsI1"/>
          <w:rFonts w:cs="Times New Roman"/>
          <w:sz w:val="22"/>
        </w:rPr>
        <w:t xml:space="preserve"> Business Corporations Act</w:t>
      </w:r>
      <w:r w:rsidR="00E63554" w:rsidRPr="00E63554">
        <w:rPr>
          <w:rFonts w:ascii="Times New Roman" w:hAnsi="Times New Roman" w:cs="Times New Roman"/>
        </w:rPr>
        <w:t>, S.B.C. 2002, c. 57.</w:t>
      </w:r>
      <w:r w:rsidR="004A3AAF" w:rsidRPr="00E63554">
        <w:rPr>
          <w:rFonts w:ascii="Times New Roman" w:hAnsi="Times New Roman" w:cs="Times New Roman"/>
        </w:rPr>
        <w:t xml:space="preserve"> </w:t>
      </w:r>
      <w:r w:rsidRPr="00E63554">
        <w:rPr>
          <w:rFonts w:ascii="Times New Roman" w:hAnsi="Times New Roman" w:cs="Times New Roman"/>
          <w:lang w:val="en-US"/>
        </w:rPr>
        <w:t xml:space="preserve">The checklist is current to September </w:t>
      </w:r>
      <w:r w:rsidR="005B5696" w:rsidRPr="00E63554">
        <w:rPr>
          <w:rFonts w:ascii="Times New Roman" w:hAnsi="Times New Roman" w:cs="Times New Roman"/>
          <w:lang w:val="en-US"/>
        </w:rPr>
        <w:t>4</w:t>
      </w:r>
      <w:r w:rsidRPr="00E63554">
        <w:rPr>
          <w:rFonts w:ascii="Times New Roman" w:hAnsi="Times New Roman" w:cs="Times New Roman"/>
          <w:lang w:val="en-US"/>
        </w:rPr>
        <w:t xml:space="preserve">, 2024. </w:t>
      </w:r>
    </w:p>
    <w:p w14:paraId="357E9F52" w14:textId="55B2E5E1" w:rsidR="00E63554" w:rsidRPr="00E63554" w:rsidRDefault="00E63554" w:rsidP="00644A0B">
      <w:pPr>
        <w:spacing w:before="80" w:after="80"/>
        <w:ind w:right="450"/>
        <w:jc w:val="both"/>
        <w:rPr>
          <w:rFonts w:ascii="Times New Roman" w:hAnsi="Times New Roman" w:cs="Times New Roman"/>
          <w:lang w:val="en-US"/>
        </w:rPr>
      </w:pPr>
      <w:r w:rsidRPr="00E63554">
        <w:rPr>
          <w:rFonts w:ascii="Times New Roman" w:hAnsi="Times New Roman" w:cs="Times New Roman"/>
        </w:rPr>
        <w:t>A shareholders’ agreement will change the dynamics among the shareholders of a company from those that exist under the basic corporate law. Majority shareholders should understand they will likely give up rights and powers they would have as the majority controlling the right to elect a majority of the board of directors. Minority shareholders will, in most cases, gain rights and powers they would not otherwise have as minority shareholders, provided that they too may give up or waive certain statutory rights that they would otherwise have. The majority should appreciate that their power as a majority could be effectively lost if, for example, they commit to allowing the board of directors to be composed of a majority of parties who do not comprise the majority of shareholders. Since the overall philosophy of a shareholders’ agreement is to create a different balance of rights and obligations from that which would exist under the corporate law without such an agreement, the lawyers involved should carefully weigh the rights gained with those given up by their clients in such an agreement. Further, the business understanding among the shareholders should be thoroughly understood so that it is properly reflected in the agreement and in the relative shareholdings among the shareholders.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0648A40E" w:rsidR="006C189C" w:rsidRPr="002D55B0" w:rsidRDefault="003625D3" w:rsidP="002D55B0">
            <w:pPr>
              <w:pStyle w:val="Newdevelopmentbulletfirstlevel"/>
            </w:pPr>
            <w:r w:rsidRPr="003625D3">
              <w:rPr>
                <w:b/>
                <w:i/>
              </w:rPr>
              <w:t>Investment Canada Act</w:t>
            </w:r>
            <w:r w:rsidRPr="003625D3">
              <w:rPr>
                <w:b/>
              </w:rPr>
              <w:t xml:space="preserve">. </w:t>
            </w:r>
            <w:r w:rsidRPr="003625D3">
              <w:t xml:space="preserve">Recent amendments to the </w:t>
            </w:r>
            <w:r w:rsidRPr="003625D3">
              <w:rPr>
                <w:i/>
                <w:iCs/>
              </w:rPr>
              <w:t>Investment Canada Act</w:t>
            </w:r>
            <w:r w:rsidRPr="003625D3">
              <w:t>, R.S.C. 1985, c. 28 (1</w:t>
            </w:r>
            <w:r w:rsidRPr="002D55B0">
              <w:t>st</w:t>
            </w:r>
            <w:r w:rsidRPr="003625D3">
              <w:t xml:space="preserve"> Supp.) and changes to policy announced by the Minister of Innovation, Science and Industry (the “Minister”) continue to address changing threats that can arise from foreign investment. </w:t>
            </w:r>
          </w:p>
        </w:tc>
      </w:tr>
      <w:tr w:rsidR="002D55B0" w14:paraId="73D2B970" w14:textId="77777777" w:rsidTr="008A69BF">
        <w:tc>
          <w:tcPr>
            <w:tcW w:w="9350" w:type="dxa"/>
            <w:vAlign w:val="center"/>
          </w:tcPr>
          <w:p w14:paraId="57C67711" w14:textId="3DBD9E5E" w:rsidR="002D55B0" w:rsidRPr="002D55B0" w:rsidRDefault="002D55B0" w:rsidP="00C7544E">
            <w:pPr>
              <w:pStyle w:val="Newdevelopmentsubbullet"/>
            </w:pPr>
            <w:r w:rsidRPr="003625D3">
              <w:rPr>
                <w:b/>
                <w:bCs/>
              </w:rPr>
              <w:t>Modernization.</w:t>
            </w:r>
            <w:r w:rsidRPr="003625D3">
              <w:t xml:space="preserve"> </w:t>
            </w:r>
            <w:r w:rsidRPr="003625D3">
              <w:rPr>
                <w:i/>
                <w:iCs/>
              </w:rPr>
              <w:t>An Act to Amend the Investment Canada Act</w:t>
            </w:r>
            <w:r w:rsidRPr="002D55B0">
              <w:t>,</w:t>
            </w:r>
            <w:r w:rsidRPr="003625D3">
              <w:t xml:space="preserve"> </w:t>
            </w:r>
            <w:r w:rsidRPr="002D55B0">
              <w:t>S.C. 2024, c</w:t>
            </w:r>
            <w:r w:rsidRPr="005F0E73">
              <w:t>. 4</w:t>
            </w:r>
            <w:r>
              <w:t xml:space="preserve"> </w:t>
            </w:r>
            <w:r w:rsidRPr="003625D3">
              <w:t xml:space="preserve">received </w:t>
            </w:r>
            <w:r>
              <w:t>R</w:t>
            </w:r>
            <w:r w:rsidRPr="003625D3">
              <w:t xml:space="preserve">oyal </w:t>
            </w:r>
            <w:r>
              <w:t>A</w:t>
            </w:r>
            <w:r w:rsidRPr="003625D3">
              <w:t xml:space="preserve">ssent on March 22, 2024, with amendments coming into force September 3, 2024. The amendments further the Minister’s ability to detect, review, and restrict foreign investments that are potentially injurious to Canadian national security. </w:t>
            </w:r>
          </w:p>
        </w:tc>
      </w:tr>
      <w:tr w:rsidR="006C189C" w14:paraId="61EE0122" w14:textId="77777777" w:rsidTr="008A69BF">
        <w:tc>
          <w:tcPr>
            <w:tcW w:w="9350" w:type="dxa"/>
            <w:vAlign w:val="center"/>
          </w:tcPr>
          <w:p w14:paraId="2FC2DEE7" w14:textId="3B0A86F7" w:rsidR="006C189C" w:rsidRPr="002D55B0" w:rsidRDefault="002D55B0" w:rsidP="00C7544E">
            <w:pPr>
              <w:pStyle w:val="Newdevelopmentsubbullet"/>
            </w:pPr>
            <w:r w:rsidRPr="003625D3">
              <w:rPr>
                <w:b/>
              </w:rPr>
              <w:t>Investment digital media sector.</w:t>
            </w:r>
            <w:r w:rsidRPr="003625D3">
              <w:t xml:space="preserve"> Foreign investors and Canadian businesses in the</w:t>
            </w:r>
            <w:r>
              <w:t xml:space="preserve"> investment digital media sector (the</w:t>
            </w:r>
            <w:r w:rsidRPr="003625D3">
              <w:t xml:space="preserve"> </w:t>
            </w:r>
            <w:r>
              <w:t>“</w:t>
            </w:r>
            <w:r w:rsidRPr="003625D3">
              <w:t>IDM</w:t>
            </w:r>
            <w:r>
              <w:t xml:space="preserve"> sector”)</w:t>
            </w:r>
            <w:r w:rsidRPr="003625D3">
              <w:t xml:space="preserve"> must review their investment plans for potential connections to entities owned or influenced by hostile foreign states and consult with Innovation, Science and Economic Development Canada’s Investment Review Division at least 45 days before implementing any investment. Foreign investors in Canada’s IDM sector must ensure their investments support the creation and retention of Canadian intellectual property and comply with stringent undertakings and possible reviews for net benefit by the Minister of Canadian Heritage, focusing on maintaining Canadian control and cultural expression.</w:t>
            </w:r>
          </w:p>
        </w:tc>
      </w:tr>
    </w:tbl>
    <w:p w14:paraId="1ED68A12" w14:textId="77777777" w:rsidR="00D23AFC" w:rsidRDefault="00D23AF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D55B0" w14:paraId="26EBAAEE" w14:textId="77777777" w:rsidTr="008A69BF">
        <w:tc>
          <w:tcPr>
            <w:tcW w:w="9350" w:type="dxa"/>
            <w:vAlign w:val="center"/>
          </w:tcPr>
          <w:p w14:paraId="442051B7" w14:textId="26EA0AD2" w:rsidR="002D55B0" w:rsidRPr="002D55B0" w:rsidRDefault="002D55B0" w:rsidP="002D55B0">
            <w:pPr>
              <w:pStyle w:val="Newdevelopmentbulletfirstlevel"/>
            </w:pPr>
            <w:r w:rsidRPr="004F378B">
              <w:rPr>
                <w:b/>
                <w:bCs/>
              </w:rPr>
              <w:lastRenderedPageBreak/>
              <w:t>Mandatory disclosure regime to report transactions</w:t>
            </w:r>
            <w:r w:rsidRPr="001631B9">
              <w:rPr>
                <w:b/>
                <w:bCs/>
              </w:rPr>
              <w:t>.</w:t>
            </w:r>
            <w:r w:rsidRPr="004F378B">
              <w:t xml:space="preserve"> Enhanced mandatory disclosure rules under ss. 237.3 to 237.4 of the </w:t>
            </w:r>
            <w:r w:rsidRPr="00803607">
              <w:rPr>
                <w:i/>
                <w:iCs/>
              </w:rPr>
              <w:t>Income Tax Act</w:t>
            </w:r>
            <w:r w:rsidRPr="002D55B0">
              <w:t>,</w:t>
            </w:r>
            <w:r>
              <w:t xml:space="preserve"> R.S.C. 1985, c. 1 (5</w:t>
            </w:r>
            <w:r w:rsidRPr="000272B7">
              <w:t>th</w:t>
            </w:r>
            <w:r>
              <w:t xml:space="preserve"> Supp.)</w:t>
            </w:r>
            <w:r w:rsidRPr="001631B9">
              <w:t xml:space="preserve"> </w:t>
            </w:r>
            <w:r w:rsidRPr="004F378B">
              <w:t xml:space="preserve">consist of changes to the existing reportable transaction rules and a new rule to report “notifiable </w:t>
            </w:r>
            <w:r w:rsidRPr="002D55B0">
              <w:t>transactions</w:t>
            </w:r>
            <w:r w:rsidRPr="004F378B">
              <w:t xml:space="preserve">”. These rules apply to transactions occurring after June 21, 2023. Members of the legal profession are caught by the rules through the definition of an “advisor” and are therefore exposed to the possibility of substantial penalties. </w:t>
            </w:r>
            <w:r>
              <w:t>L</w:t>
            </w:r>
            <w:r w:rsidRPr="004F378B">
              <w:t xml:space="preserve">egal professionals are currently exempt from the rules pending determination of the Federation of Law </w:t>
            </w:r>
            <w:proofErr w:type="gramStart"/>
            <w:r w:rsidRPr="004F378B">
              <w:t>Societies’</w:t>
            </w:r>
            <w:proofErr w:type="gramEnd"/>
            <w:r w:rsidRPr="004F378B">
              <w:t xml:space="preserve"> of Canada’s challenge to the constitutionality of these rules on the grounds that they infringe the </w:t>
            </w:r>
            <w:r w:rsidRPr="002D55B0">
              <w:rPr>
                <w:i/>
              </w:rPr>
              <w:t>Canadian Charter of</w:t>
            </w:r>
            <w:r w:rsidRPr="002D55B0">
              <w:t xml:space="preserve"> </w:t>
            </w:r>
            <w:r w:rsidRPr="002D55B0">
              <w:rPr>
                <w:i/>
              </w:rPr>
              <w:t>Rights and Freedoms</w:t>
            </w:r>
            <w:r w:rsidRPr="002D55B0">
              <w:t xml:space="preserve">, Part </w:t>
            </w:r>
            <w:r w:rsidR="00F33AFA">
              <w:t>I</w:t>
            </w:r>
            <w:r w:rsidRPr="002D55B0">
              <w:t xml:space="preserve"> of the</w:t>
            </w:r>
            <w:r w:rsidRPr="002D55B0">
              <w:rPr>
                <w:i/>
              </w:rPr>
              <w:t xml:space="preserve"> Constitution Act</w:t>
            </w:r>
            <w:r w:rsidRPr="002D55B0">
              <w:t xml:space="preserve">, 1982, being Schedule B to the </w:t>
            </w:r>
            <w:r w:rsidRPr="002D55B0">
              <w:rPr>
                <w:i/>
              </w:rPr>
              <w:t>Canada Act</w:t>
            </w:r>
            <w:r w:rsidRPr="002D55B0">
              <w:t xml:space="preserve"> 1982 (U.K.), c. 11</w:t>
            </w:r>
            <w:r w:rsidRPr="004F378B">
              <w:t xml:space="preserve"> (specifically, that the rules create potential conflicts of interest between legal professionals and their clients). </w:t>
            </w:r>
            <w:r>
              <w:t>O</w:t>
            </w:r>
            <w:r w:rsidRPr="004F378B">
              <w:t>ther parties</w:t>
            </w:r>
            <w:r>
              <w:t>,</w:t>
            </w:r>
            <w:r w:rsidRPr="004F378B">
              <w:t xml:space="preserve"> such as client</w:t>
            </w:r>
            <w:r>
              <w:t>s</w:t>
            </w:r>
            <w:r w:rsidRPr="004F378B">
              <w:t xml:space="preserve"> and accountants</w:t>
            </w:r>
            <w:r>
              <w:t>,</w:t>
            </w:r>
            <w:r w:rsidRPr="004F378B">
              <w:t xml:space="preserve"> are not exempt from the rules. Lawyers should consider advising their clients to consult with accountants and other professionals, such as tax counsel, on their obligations as well as updating their reporting correspondence.  </w:t>
            </w:r>
          </w:p>
        </w:tc>
      </w:tr>
      <w:tr w:rsidR="002D55B0" w14:paraId="32D5007B" w14:textId="77777777" w:rsidTr="008A69BF">
        <w:tc>
          <w:tcPr>
            <w:tcW w:w="9350" w:type="dxa"/>
            <w:vAlign w:val="center"/>
          </w:tcPr>
          <w:p w14:paraId="717BBB80" w14:textId="5DE0DB15" w:rsidR="002D55B0" w:rsidRPr="002D55B0" w:rsidRDefault="002D55B0" w:rsidP="002D55B0">
            <w:pPr>
              <w:pStyle w:val="Newdevelopmentbulletfirstlevel"/>
            </w:pPr>
            <w:r w:rsidRPr="00C3441A">
              <w:rPr>
                <w:b/>
                <w:i/>
                <w:iCs/>
              </w:rPr>
              <w:t xml:space="preserve">Land Owner Transparency Act. </w:t>
            </w:r>
            <w:r w:rsidRPr="00C3441A">
              <w:t xml:space="preserve">The </w:t>
            </w:r>
            <w:r w:rsidRPr="00C3441A">
              <w:rPr>
                <w:i/>
                <w:iCs/>
              </w:rPr>
              <w:t>Land Owner Transparency Act</w:t>
            </w:r>
            <w:r w:rsidRPr="00C3441A">
              <w:t>, S.B.C. 2019, c. 23 (the “</w:t>
            </w:r>
            <w:r w:rsidRPr="001631B9">
              <w:rPr>
                <w:i/>
                <w:iCs/>
              </w:rPr>
              <w:t>LOTA</w:t>
            </w:r>
            <w:r w:rsidRPr="00C3441A">
              <w:t xml:space="preserve">”) requires a transparency declaration, or report (if applicable), to be filed with the Land Owner Transparency Registry (the “LOTR”) any time an application is made to register or transfer an interest in land under the </w:t>
            </w:r>
            <w:r w:rsidRPr="00C3441A">
              <w:rPr>
                <w:i/>
                <w:iCs/>
              </w:rPr>
              <w:t>Land Title Act</w:t>
            </w:r>
            <w:r w:rsidRPr="00C3441A">
              <w:t xml:space="preserve">, R.S.B.C. 1996, c. 250. A reporting body under the </w:t>
            </w:r>
            <w:r w:rsidRPr="00C3441A">
              <w:rPr>
                <w:i/>
                <w:iCs/>
              </w:rPr>
              <w:t>LOTA—</w:t>
            </w:r>
            <w:r w:rsidRPr="00C3441A">
              <w:t>which includes most corporations, trusts, and partnerships, subject to limited exceptions</w:t>
            </w:r>
            <w:r w:rsidRPr="00C3441A">
              <w:rPr>
                <w:i/>
                <w:iCs/>
              </w:rPr>
              <w:t>—</w:t>
            </w:r>
            <w:r w:rsidRPr="00C3441A">
              <w:t xml:space="preserve">must file a transparency report any time there is a change in interest holders or beneficial owners, even if legal title is not transferred. </w:t>
            </w:r>
            <w:r w:rsidRPr="00C3441A">
              <w:rPr>
                <w:iCs/>
              </w:rPr>
              <w:t xml:space="preserve">Amendments to the </w:t>
            </w:r>
            <w:r w:rsidRPr="00C3441A">
              <w:rPr>
                <w:i/>
              </w:rPr>
              <w:t xml:space="preserve">LOTA </w:t>
            </w:r>
            <w:r w:rsidRPr="00C3441A">
              <w:rPr>
                <w:iCs/>
              </w:rPr>
              <w:t xml:space="preserve">came into effect </w:t>
            </w:r>
            <w:r w:rsidRPr="002D55B0">
              <w:t>November</w:t>
            </w:r>
            <w:r w:rsidRPr="00C3441A">
              <w:rPr>
                <w:iCs/>
              </w:rPr>
              <w:t xml:space="preserve"> 20, 2023 and include new definitions for “Surveyor of Taxes” and “transferee”. The amendments are to enhance the accuracy and completeness of transparency declarations and provide the ability to correct previously filed transparency declarations (s. 10.2), particularly where information was incorrect</w:t>
            </w:r>
            <w:r>
              <w:rPr>
                <w:iCs/>
              </w:rPr>
              <w:t>,</w:t>
            </w:r>
            <w:r w:rsidRPr="00C3441A">
              <w:rPr>
                <w:iCs/>
              </w:rPr>
              <w:t xml:space="preserve"> or a reporting body was omitted (s. 15.2). Additionally, reporting bodies are now required to file a transparency report within two months after receiving a notification from the Surveyor of Taxes regarding a revested property (s. 15.1). </w:t>
            </w:r>
            <w:r w:rsidRPr="00C3441A">
              <w:t xml:space="preserve">For further information, see the Land Owner Transparency Registry website and also the course presentation and materials by S. Carter, R. </w:t>
            </w:r>
            <w:proofErr w:type="spellStart"/>
            <w:r w:rsidRPr="00C3441A">
              <w:t>Danakody</w:t>
            </w:r>
            <w:proofErr w:type="spellEnd"/>
            <w:r w:rsidRPr="00C3441A">
              <w:t xml:space="preserve">, and C.R. MacDonald, “Land Title and Survey Authority of British Columbia: Land Owner Transparency Registry” in </w:t>
            </w:r>
            <w:r w:rsidRPr="00C3441A">
              <w:rPr>
                <w:i/>
              </w:rPr>
              <w:t>Residential Real Estate Conference 2020</w:t>
            </w:r>
            <w:r w:rsidRPr="00C3441A">
              <w:t xml:space="preserve"> (CLEBC, 2020), and</w:t>
            </w:r>
            <w:r>
              <w:t xml:space="preserve"> </w:t>
            </w:r>
            <w:r w:rsidRPr="00C3441A">
              <w:t xml:space="preserve">R. </w:t>
            </w:r>
            <w:proofErr w:type="spellStart"/>
            <w:r w:rsidRPr="00C3441A">
              <w:t>Danakody</w:t>
            </w:r>
            <w:proofErr w:type="spellEnd"/>
            <w:r w:rsidRPr="00C3441A">
              <w:t xml:space="preserve"> and T. Norman, “Land Owner Transparency Registry (LOTR)” in </w:t>
            </w:r>
            <w:r w:rsidRPr="00C3441A">
              <w:rPr>
                <w:i/>
              </w:rPr>
              <w:t>Real Estate Development Update 2021</w:t>
            </w:r>
            <w:r w:rsidRPr="00C3441A">
              <w:t xml:space="preserve"> (CLEBC, 2021), available through CLEBC Courses on Demand</w:t>
            </w:r>
            <w:r w:rsidRPr="00C3441A">
              <w:rPr>
                <w:iCs/>
              </w:rPr>
              <w:t>.</w:t>
            </w:r>
          </w:p>
        </w:tc>
      </w:tr>
      <w:tr w:rsidR="002D55B0" w14:paraId="30F89A90" w14:textId="77777777" w:rsidTr="008A69BF">
        <w:tc>
          <w:tcPr>
            <w:tcW w:w="9350" w:type="dxa"/>
            <w:vAlign w:val="center"/>
          </w:tcPr>
          <w:p w14:paraId="74606466" w14:textId="1A331AA2" w:rsidR="002D55B0" w:rsidRPr="002D55B0" w:rsidRDefault="002D55B0" w:rsidP="002D55B0">
            <w:pPr>
              <w:pStyle w:val="Newdevelopmentbulletfirstlevel"/>
            </w:pPr>
            <w:r w:rsidRPr="00C3441A">
              <w:rPr>
                <w:b/>
              </w:rPr>
              <w:t>Transparency register.</w:t>
            </w:r>
            <w:r w:rsidRPr="00C3441A">
              <w:t xml:space="preserve"> Private companies incorporated under the</w:t>
            </w:r>
            <w:r w:rsidRPr="005F0E73">
              <w:rPr>
                <w:bCs/>
                <w:i/>
                <w:iCs/>
              </w:rPr>
              <w:t xml:space="preserve"> Business Corporations Act</w:t>
            </w:r>
            <w:r>
              <w:rPr>
                <w:bCs/>
              </w:rPr>
              <w:t xml:space="preserve"> </w:t>
            </w:r>
            <w:r w:rsidRPr="00C3441A">
              <w:t xml:space="preserve">must create and maintain a “transparency register” of information about “significant individuals” </w:t>
            </w:r>
            <w:r>
              <w:t>(</w:t>
            </w:r>
            <w:r w:rsidRPr="00C3441A">
              <w:t xml:space="preserve">as defined by s. 119.11 of the </w:t>
            </w:r>
            <w:r w:rsidRPr="00C3441A">
              <w:rPr>
                <w:i/>
                <w:iCs/>
              </w:rPr>
              <w:t>B</w:t>
            </w:r>
            <w:r>
              <w:rPr>
                <w:i/>
                <w:iCs/>
              </w:rPr>
              <w:t xml:space="preserve">usiness </w:t>
            </w:r>
            <w:r w:rsidRPr="00C3441A">
              <w:rPr>
                <w:i/>
                <w:iCs/>
              </w:rPr>
              <w:t>C</w:t>
            </w:r>
            <w:r>
              <w:rPr>
                <w:i/>
                <w:iCs/>
              </w:rPr>
              <w:t xml:space="preserve">orporations </w:t>
            </w:r>
            <w:r w:rsidRPr="00C3441A">
              <w:rPr>
                <w:i/>
                <w:iCs/>
              </w:rPr>
              <w:t>A</w:t>
            </w:r>
            <w:r>
              <w:rPr>
                <w:i/>
                <w:iCs/>
              </w:rPr>
              <w:t>ct</w:t>
            </w:r>
            <w:r>
              <w:t>)</w:t>
            </w:r>
            <w:r w:rsidRPr="00C3441A">
              <w:t xml:space="preserve">. Consult the </w:t>
            </w:r>
            <w:r w:rsidRPr="00C3441A">
              <w:rPr>
                <w:i/>
                <w:iCs/>
              </w:rPr>
              <w:t>B</w:t>
            </w:r>
            <w:r>
              <w:rPr>
                <w:i/>
                <w:iCs/>
              </w:rPr>
              <w:t xml:space="preserve">usiness </w:t>
            </w:r>
            <w:r w:rsidRPr="00C3441A">
              <w:rPr>
                <w:i/>
                <w:iCs/>
              </w:rPr>
              <w:t>C</w:t>
            </w:r>
            <w:r>
              <w:rPr>
                <w:i/>
                <w:iCs/>
              </w:rPr>
              <w:t xml:space="preserve">orporation </w:t>
            </w:r>
            <w:r w:rsidRPr="00C3441A">
              <w:rPr>
                <w:i/>
                <w:iCs/>
              </w:rPr>
              <w:t>A</w:t>
            </w:r>
            <w:r>
              <w:rPr>
                <w:i/>
                <w:iCs/>
              </w:rPr>
              <w:t>ct</w:t>
            </w:r>
            <w:r w:rsidRPr="00C3441A">
              <w:rPr>
                <w:i/>
                <w:iCs/>
              </w:rPr>
              <w:t xml:space="preserve"> </w:t>
            </w:r>
            <w:r w:rsidRPr="00C3441A">
              <w:t xml:space="preserve">and </w:t>
            </w:r>
            <w:r>
              <w:t xml:space="preserve">British Columbia </w:t>
            </w:r>
            <w:r w:rsidRPr="00C3441A">
              <w:t>government websites</w:t>
            </w:r>
            <w:r>
              <w:t xml:space="preserve"> to confirm compliance.</w:t>
            </w:r>
            <w:r w:rsidRPr="00C3441A">
              <w:t xml:space="preserve"> </w:t>
            </w:r>
            <w:r>
              <w:t>T</w:t>
            </w:r>
            <w:r w:rsidRPr="00C3441A">
              <w:t>he</w:t>
            </w:r>
            <w:r>
              <w:t xml:space="preserve"> </w:t>
            </w:r>
            <w:r w:rsidRPr="00C3441A">
              <w:rPr>
                <w:i/>
                <w:iCs/>
              </w:rPr>
              <w:t>Business Corporations Amendment Act</w:t>
            </w:r>
            <w:r>
              <w:rPr>
                <w:i/>
                <w:iCs/>
              </w:rPr>
              <w:t>, 2023</w:t>
            </w:r>
            <w:r w:rsidRPr="00C3441A">
              <w:t>,</w:t>
            </w:r>
            <w:r>
              <w:t xml:space="preserve"> S.B.C. 2023, c. 20</w:t>
            </w:r>
            <w:r w:rsidRPr="00C3441A">
              <w:t xml:space="preserve"> will introduce a new corporate </w:t>
            </w:r>
            <w:r w:rsidRPr="002D55B0">
              <w:t>transparency</w:t>
            </w:r>
            <w:r w:rsidRPr="00C3441A">
              <w:t xml:space="preserve"> registry and transparency requirements by 2025.</w:t>
            </w:r>
          </w:p>
        </w:tc>
      </w:tr>
      <w:tr w:rsidR="002D55B0" w14:paraId="05C614C6" w14:textId="77777777" w:rsidTr="008A69BF">
        <w:tc>
          <w:tcPr>
            <w:tcW w:w="9350" w:type="dxa"/>
            <w:vAlign w:val="center"/>
          </w:tcPr>
          <w:p w14:paraId="27A52696" w14:textId="576CD8E7" w:rsidR="002D55B0" w:rsidRPr="002D55B0" w:rsidRDefault="002D55B0" w:rsidP="002D55B0">
            <w:pPr>
              <w:pStyle w:val="Newdevelopmentbulletfirstlevel"/>
              <w:rPr>
                <w:b/>
              </w:rPr>
            </w:pPr>
            <w:r w:rsidRPr="00C3441A">
              <w:rPr>
                <w:b/>
                <w:i/>
              </w:rPr>
              <w:t>Canada Business Corporations Act</w:t>
            </w:r>
            <w:r w:rsidRPr="002D55B0">
              <w:rPr>
                <w:b/>
                <w:bCs/>
              </w:rPr>
              <w:t>.</w:t>
            </w:r>
            <w:r w:rsidRPr="00C3441A">
              <w:t xml:space="preserve"> Amendments to the </w:t>
            </w:r>
            <w:r w:rsidRPr="00C3441A">
              <w:rPr>
                <w:i/>
              </w:rPr>
              <w:t>Canada Business Corporations Act</w:t>
            </w:r>
            <w:r w:rsidRPr="00C3441A">
              <w:t>, R.S.C. 1985, c. C-44 (</w:t>
            </w:r>
            <w:r>
              <w:t xml:space="preserve">the </w:t>
            </w:r>
            <w:r w:rsidRPr="00C3441A">
              <w:t>“</w:t>
            </w:r>
            <w:r w:rsidRPr="00C3441A">
              <w:rPr>
                <w:i/>
              </w:rPr>
              <w:t>CBCA</w:t>
            </w:r>
            <w:r w:rsidRPr="00C3441A">
              <w:t>”)</w:t>
            </w:r>
            <w:r>
              <w:t>,</w:t>
            </w:r>
            <w:r w:rsidRPr="00C3441A">
              <w:t xml:space="preserve"> which took effect August 31, 2022, require distributing corporations (generally only public companies which are governed under the </w:t>
            </w:r>
            <w:r w:rsidRPr="00C3441A">
              <w:rPr>
                <w:i/>
              </w:rPr>
              <w:t>CBCA</w:t>
            </w:r>
            <w:r w:rsidRPr="00C3441A">
              <w:t xml:space="preserve">) to comply with new requirements with respect to the election of directors. Note the amendments in s. 106 of the </w:t>
            </w:r>
            <w:r w:rsidRPr="00C3441A">
              <w:rPr>
                <w:i/>
              </w:rPr>
              <w:t>CBCA</w:t>
            </w:r>
            <w:r w:rsidRPr="00C3441A">
              <w:t xml:space="preserve">, with respect to “majority voting” and “individual election” requirements. Accordingly, if a </w:t>
            </w:r>
            <w:r w:rsidRPr="00C3441A">
              <w:rPr>
                <w:i/>
              </w:rPr>
              <w:t>CBCA</w:t>
            </w:r>
            <w:r w:rsidRPr="00C3441A">
              <w:t xml:space="preserve"> company is being incorporated, and particularly if it may become a reporting issuer, attention should be given to the company’s articles with respect to electing and appointing its directors. As of January 22, 2024, corporations created under the </w:t>
            </w:r>
            <w:r w:rsidRPr="00C3441A">
              <w:rPr>
                <w:i/>
                <w:iCs/>
              </w:rPr>
              <w:t>CBCA</w:t>
            </w:r>
            <w:r w:rsidRPr="00C3441A">
              <w:t xml:space="preserve"> are required to file information regarding individuals with significant control (“ISC”) with Corporations Canada and to keep a copy of their ISC register with their corporate records.</w:t>
            </w:r>
          </w:p>
        </w:tc>
      </w:tr>
      <w:tr w:rsidR="00E63554" w14:paraId="02DB1574" w14:textId="77777777" w:rsidTr="008A69BF">
        <w:tc>
          <w:tcPr>
            <w:tcW w:w="9350" w:type="dxa"/>
            <w:vAlign w:val="center"/>
          </w:tcPr>
          <w:p w14:paraId="3821C6F9" w14:textId="0B300B9B" w:rsidR="00E63554" w:rsidRPr="00294A3A" w:rsidRDefault="00E63554" w:rsidP="002D55B0">
            <w:pPr>
              <w:pStyle w:val="Newdevelopmentbulletfirstlevel"/>
              <w:rPr>
                <w:b/>
              </w:rPr>
            </w:pPr>
            <w:bookmarkStart w:id="0" w:name="_Hlk175330182"/>
            <w:r w:rsidRPr="007B58FD">
              <w:rPr>
                <w:b/>
              </w:rPr>
              <w:lastRenderedPageBreak/>
              <w:t xml:space="preserve">Removing oneself as a director. </w:t>
            </w:r>
            <w:r w:rsidRPr="007674F2">
              <w:t xml:space="preserve">Effective May 4, 2023, a person who claims not to be a director but who is recorded as a director in a company’s notice of articles may, on notice to the company, apply to the registrar for the removal of their name and address from the </w:t>
            </w:r>
            <w:r w:rsidRPr="002D55B0">
              <w:t>company’s</w:t>
            </w:r>
            <w:r w:rsidRPr="007674F2">
              <w:t xml:space="preserve"> notice of articles (</w:t>
            </w:r>
            <w:r w:rsidRPr="007674F2">
              <w:rPr>
                <w:i/>
              </w:rPr>
              <w:t>B</w:t>
            </w:r>
            <w:r w:rsidR="00902A8F">
              <w:rPr>
                <w:i/>
              </w:rPr>
              <w:t xml:space="preserve">usiness </w:t>
            </w:r>
            <w:r w:rsidRPr="007674F2">
              <w:rPr>
                <w:i/>
              </w:rPr>
              <w:t>C</w:t>
            </w:r>
            <w:r w:rsidR="00902A8F">
              <w:rPr>
                <w:i/>
              </w:rPr>
              <w:t xml:space="preserve">orporations </w:t>
            </w:r>
            <w:r w:rsidRPr="007674F2">
              <w:rPr>
                <w:i/>
              </w:rPr>
              <w:t>A</w:t>
            </w:r>
            <w:r w:rsidR="00902A8F">
              <w:rPr>
                <w:i/>
              </w:rPr>
              <w:t>ct</w:t>
            </w:r>
            <w:r w:rsidRPr="007674F2">
              <w:t>, s. 127.1, as amended B.C. Reg. 114/2023). On application, the registrar must alter the company’s notice of articles if the applicant provides satisfactory proof that they are not a director of the company, and the company failed to file a notice of change of directors with the registrar.</w:t>
            </w:r>
            <w:bookmarkEnd w:id="0"/>
          </w:p>
        </w:tc>
      </w:tr>
      <w:tr w:rsidR="00E63554" w14:paraId="471CFCD8" w14:textId="77777777" w:rsidTr="008A69BF">
        <w:tc>
          <w:tcPr>
            <w:tcW w:w="9350" w:type="dxa"/>
            <w:vAlign w:val="center"/>
          </w:tcPr>
          <w:p w14:paraId="3E8D204D" w14:textId="510670C9" w:rsidR="00E63554" w:rsidRPr="007B58FD" w:rsidRDefault="00E63554" w:rsidP="00D23AFC">
            <w:pPr>
              <w:pStyle w:val="Newdevelopmentbulletfirstlevel"/>
              <w:rPr>
                <w:b/>
              </w:rPr>
            </w:pPr>
            <w:bookmarkStart w:id="1" w:name="_Hlk175330204"/>
            <w:r w:rsidRPr="00525DE6">
              <w:rPr>
                <w:b/>
              </w:rPr>
              <w:t>Revocability of a shotgun offer.</w:t>
            </w:r>
            <w:r w:rsidRPr="004B6A3B">
              <w:t xml:space="preserve"> In </w:t>
            </w:r>
            <w:r w:rsidRPr="00C72092">
              <w:rPr>
                <w:i/>
              </w:rPr>
              <w:t xml:space="preserve">Blackmore Management Inc. v. </w:t>
            </w:r>
            <w:proofErr w:type="spellStart"/>
            <w:r w:rsidRPr="00C72092">
              <w:rPr>
                <w:i/>
              </w:rPr>
              <w:t>Carma</w:t>
            </w:r>
            <w:r>
              <w:rPr>
                <w:i/>
              </w:rPr>
              <w:t>n</w:t>
            </w:r>
            <w:r w:rsidRPr="00C72092">
              <w:rPr>
                <w:i/>
              </w:rPr>
              <w:t>ah</w:t>
            </w:r>
            <w:proofErr w:type="spellEnd"/>
            <w:r w:rsidRPr="00C72092">
              <w:rPr>
                <w:i/>
              </w:rPr>
              <w:t xml:space="preserve"> Management Corp.</w:t>
            </w:r>
            <w:r w:rsidRPr="00C72092">
              <w:t>,</w:t>
            </w:r>
            <w:r w:rsidRPr="004B6A3B">
              <w:t xml:space="preserve"> 202</w:t>
            </w:r>
            <w:r>
              <w:t>2</w:t>
            </w:r>
            <w:r w:rsidRPr="004B6A3B">
              <w:t xml:space="preserve"> BC</w:t>
            </w:r>
            <w:r>
              <w:t>CA</w:t>
            </w:r>
            <w:r w:rsidRPr="004B6A3B">
              <w:t xml:space="preserve"> 1</w:t>
            </w:r>
            <w:r>
              <w:t>17, supplementary reasons 2022 BCCA 235</w:t>
            </w:r>
            <w:r w:rsidRPr="004B6A3B">
              <w:t xml:space="preserve">, </w:t>
            </w:r>
            <w:r w:rsidRPr="00A45996">
              <w:rPr>
                <w:bCs/>
              </w:rPr>
              <w:t xml:space="preserve">the </w:t>
            </w:r>
            <w:r>
              <w:rPr>
                <w:bCs/>
              </w:rPr>
              <w:t>c</w:t>
            </w:r>
            <w:r w:rsidRPr="00A45996">
              <w:rPr>
                <w:bCs/>
              </w:rPr>
              <w:t xml:space="preserve">ourt applied the principles of contractual interpretation to a shotgun clause in a shareholders’ agreement. The </w:t>
            </w:r>
            <w:r>
              <w:rPr>
                <w:bCs/>
              </w:rPr>
              <w:t>c</w:t>
            </w:r>
            <w:r w:rsidRPr="00A45996">
              <w:rPr>
                <w:bCs/>
              </w:rPr>
              <w:t>ourt reversed the trial decision and held that an offer made under a shotgun clause will not be irrevocable in the absence of express language in the agreement to the contrary</w:t>
            </w:r>
            <w:r w:rsidR="003625D3">
              <w:rPr>
                <w:bCs/>
              </w:rPr>
              <w:t>, as r</w:t>
            </w:r>
            <w:r w:rsidRPr="00A45996">
              <w:rPr>
                <w:bCs/>
              </w:rPr>
              <w:t xml:space="preserve">evocability is an important consideration in the drafting of shotgun clauses. </w:t>
            </w:r>
            <w:r w:rsidRPr="00D23AFC">
              <w:t>To</w:t>
            </w:r>
            <w:r w:rsidRPr="00C906D9">
              <w:t xml:space="preserve"> achieve the intended result of a shotgun mechanism, typically the offer must be irrevocable.  Consistent with this notion, the </w:t>
            </w:r>
            <w:r>
              <w:t>c</w:t>
            </w:r>
            <w:r w:rsidRPr="00C906D9">
              <w:t>ourt concluded that it would be inconsistent with the purpose of shotgun clauses if parties could revoke an offer they have come to regret.</w:t>
            </w:r>
            <w:r>
              <w:t xml:space="preserve"> </w:t>
            </w:r>
            <w:r w:rsidRPr="00C906D9">
              <w:t xml:space="preserve">As a result of this decision, in the atypical situation where the parties intend for a shotgun offer to be revocable, this intention should be expressly set out </w:t>
            </w:r>
            <w:r w:rsidRPr="002D55B0">
              <w:t>in</w:t>
            </w:r>
            <w:r w:rsidRPr="00C906D9">
              <w:t xml:space="preserve"> the agreement.</w:t>
            </w:r>
            <w:r>
              <w:t xml:space="preserve"> In all other circumstances, it is best practice to expressly state that the offer is irrevocable. Note that the Court of Appeal granted a stay of its order pending an application for leave to the Supreme Court of Canada; counsel should stay apprised of further updates.</w:t>
            </w:r>
            <w:bookmarkEnd w:id="1"/>
          </w:p>
        </w:tc>
      </w:tr>
      <w:tr w:rsidR="00E63554" w14:paraId="7E4E2494" w14:textId="77777777" w:rsidTr="008A69BF">
        <w:tc>
          <w:tcPr>
            <w:tcW w:w="9350" w:type="dxa"/>
            <w:vAlign w:val="center"/>
          </w:tcPr>
          <w:p w14:paraId="4EADD841" w14:textId="73732EA4" w:rsidR="00AF6731" w:rsidRPr="002D55B0" w:rsidRDefault="00AF6731" w:rsidP="00D23AFC">
            <w:pPr>
              <w:pStyle w:val="Newdevelopmentbulletfirstlevel"/>
            </w:pPr>
            <w:bookmarkStart w:id="2" w:name="_Hlk175330302"/>
            <w:r w:rsidRPr="002D55B0">
              <w:rPr>
                <w:b/>
                <w:bCs/>
                <w:i/>
                <w:iCs/>
              </w:rPr>
              <w:t>Income Tax Act</w:t>
            </w:r>
            <w:r w:rsidRPr="002D55B0">
              <w:rPr>
                <w:b/>
                <w:bCs/>
              </w:rPr>
              <w:t>.</w:t>
            </w:r>
            <w:r>
              <w:t xml:space="preserve"> Amendments to the </w:t>
            </w:r>
            <w:r>
              <w:rPr>
                <w:i/>
                <w:iCs/>
              </w:rPr>
              <w:t>CBCA</w:t>
            </w:r>
            <w:r>
              <w:t xml:space="preserve"> </w:t>
            </w:r>
            <w:r w:rsidR="00677EF7">
              <w:t xml:space="preserve">that </w:t>
            </w:r>
            <w:r>
              <w:t xml:space="preserve">took effect November 2, 2023 authorize the communication of certain taxpayer information to an official of the Department of Industry for the purpose of verifying and validating the data that must be </w:t>
            </w:r>
            <w:r w:rsidRPr="00D23AFC">
              <w:t>filed</w:t>
            </w:r>
            <w:r>
              <w:t xml:space="preserve"> by certain private corporations under s. 21.21 of the </w:t>
            </w:r>
            <w:r>
              <w:rPr>
                <w:i/>
                <w:iCs/>
              </w:rPr>
              <w:t>CBCA</w:t>
            </w:r>
            <w:r>
              <w:t xml:space="preserve"> in relation to the corporate beneficial ownership registry. </w:t>
            </w:r>
            <w:bookmarkEnd w:id="2"/>
          </w:p>
        </w:tc>
      </w:tr>
      <w:tr w:rsidR="00E63554" w14:paraId="1872820C" w14:textId="77777777" w:rsidTr="008A69BF">
        <w:tc>
          <w:tcPr>
            <w:tcW w:w="9350" w:type="dxa"/>
            <w:vAlign w:val="center"/>
          </w:tcPr>
          <w:p w14:paraId="67A3F81E" w14:textId="31474133" w:rsidR="00E63554" w:rsidRPr="009A727A" w:rsidRDefault="00E63554" w:rsidP="00D23AFC">
            <w:pPr>
              <w:pStyle w:val="Newdevelopmentbulletfirstlevel"/>
              <w:rPr>
                <w:b/>
              </w:rPr>
            </w:pPr>
            <w:r w:rsidRPr="008B337E">
              <w:rPr>
                <w:b/>
                <w:i/>
              </w:rPr>
              <w:t>Competition Act</w:t>
            </w:r>
            <w:r w:rsidRPr="008B337E">
              <w:rPr>
                <w:b/>
              </w:rPr>
              <w:t xml:space="preserve">. </w:t>
            </w:r>
            <w:r w:rsidRPr="0025632B">
              <w:t xml:space="preserve">Amendments to the </w:t>
            </w:r>
            <w:r w:rsidRPr="0025632B">
              <w:rPr>
                <w:i/>
              </w:rPr>
              <w:t>Competition Act</w:t>
            </w:r>
            <w:r w:rsidRPr="0025632B">
              <w:t>, R.S.C. 1985, c. C-34, effective June 23, 2023 include provisions prohibiting agreements for mutual conduct to not hire or solicit each other’s employees.</w:t>
            </w:r>
            <w:r w:rsidR="0050634E">
              <w:t xml:space="preserve"> Most sections of </w:t>
            </w:r>
            <w:r w:rsidR="0050634E">
              <w:rPr>
                <w:i/>
                <w:iCs/>
              </w:rPr>
              <w:t>An Act to Amend the Excise Tax Act and the Competition Act</w:t>
            </w:r>
            <w:r w:rsidR="0050634E" w:rsidRPr="002D55B0">
              <w:t>,</w:t>
            </w:r>
            <w:r w:rsidR="00C902B2">
              <w:rPr>
                <w:i/>
                <w:iCs/>
              </w:rPr>
              <w:t xml:space="preserve"> </w:t>
            </w:r>
            <w:r w:rsidR="00C902B2" w:rsidRPr="002D55B0">
              <w:t>S.C. 2023 c. 31</w:t>
            </w:r>
            <w:r w:rsidR="000779B8">
              <w:t>,</w:t>
            </w:r>
            <w:r w:rsidR="0050634E">
              <w:rPr>
                <w:i/>
                <w:iCs/>
              </w:rPr>
              <w:t xml:space="preserve"> </w:t>
            </w:r>
            <w:r w:rsidR="0050634E">
              <w:t>came into force in December 2023 and empower the Commissioner of Competition to conduct inquiries into the state and competition of industries or markets if it is deemed to be in the public interest to do so. The amendments extend the Commissioner’s investigat</w:t>
            </w:r>
            <w:r w:rsidR="005258FB">
              <w:t>iv</w:t>
            </w:r>
            <w:r w:rsidR="0050634E">
              <w:t xml:space="preserve">e and enforcement related powers. </w:t>
            </w:r>
            <w:r w:rsidR="004B0F1A">
              <w:t xml:space="preserve">The </w:t>
            </w:r>
            <w:r w:rsidR="0050634E">
              <w:rPr>
                <w:i/>
                <w:iCs/>
              </w:rPr>
              <w:t>Fall Economic Statement Implementation Act</w:t>
            </w:r>
            <w:r w:rsidR="00EA5E05">
              <w:rPr>
                <w:i/>
                <w:iCs/>
              </w:rPr>
              <w:t>, 2023</w:t>
            </w:r>
            <w:r w:rsidR="0050634E" w:rsidRPr="002D55B0">
              <w:t xml:space="preserve">, </w:t>
            </w:r>
            <w:r w:rsidR="00C902B2" w:rsidRPr="002D55B0">
              <w:t>S.C. 2024, c. 15</w:t>
            </w:r>
            <w:r w:rsidR="0050634E">
              <w:t xml:space="preserve"> received </w:t>
            </w:r>
            <w:r w:rsidR="004B0F1A">
              <w:t>R</w:t>
            </w:r>
            <w:r w:rsidR="0050634E">
              <w:t xml:space="preserve">oyal </w:t>
            </w:r>
            <w:r w:rsidR="004B0F1A">
              <w:t>A</w:t>
            </w:r>
            <w:r w:rsidR="0050634E">
              <w:t>ssent on June 20, 2024 but is not yet in force</w:t>
            </w:r>
            <w:r w:rsidR="00F7548F">
              <w:t xml:space="preserve">. </w:t>
            </w:r>
            <w:r w:rsidR="00A8014B">
              <w:t xml:space="preserve">This amending </w:t>
            </w:r>
            <w:r w:rsidR="00FB5ED3">
              <w:t>Act</w:t>
            </w:r>
            <w:r w:rsidR="00F7548F">
              <w:t xml:space="preserve"> will further amend the </w:t>
            </w:r>
            <w:r w:rsidR="00F7548F">
              <w:rPr>
                <w:i/>
                <w:iCs/>
              </w:rPr>
              <w:t xml:space="preserve">Competition Act </w:t>
            </w:r>
            <w:r w:rsidR="00F7548F">
              <w:t>by strengthening remedies for anti-competitive mergers, expanding the range of mergers requiring advance notification to the Competition Bureau</w:t>
            </w:r>
            <w:r w:rsidR="005E34CF">
              <w:t>,</w:t>
            </w:r>
            <w:r w:rsidR="00F7548F">
              <w:t xml:space="preserve"> and extending the Competition Bureau’s ability to challenge mergers, among other amendments. </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5B617B96" w14:textId="7D4FA98C" w:rsidR="006C189C" w:rsidRDefault="00E63554" w:rsidP="00D23AFC">
            <w:pPr>
              <w:pStyle w:val="Newdevelopmentbulletfirstlevel"/>
            </w:pPr>
            <w:r w:rsidRPr="0025632B">
              <w:rPr>
                <w:b/>
              </w:rPr>
              <w:t xml:space="preserve">Aboriginal law. </w:t>
            </w:r>
            <w:r w:rsidRPr="007674F2">
              <w:t xml:space="preserve">Special considerations apply to businesses involving Indigenous persons and lands belonging to First Nations. While significant tax and other advantages may be available under the </w:t>
            </w:r>
            <w:bookmarkStart w:id="3" w:name="_Hlk146262717"/>
            <w:r w:rsidRPr="007674F2">
              <w:rPr>
                <w:i/>
              </w:rPr>
              <w:t>Indian Act</w:t>
            </w:r>
            <w:r w:rsidRPr="007674F2">
              <w:t>, R.S.C. 1985, c. I-5</w:t>
            </w:r>
            <w:bookmarkEnd w:id="3"/>
            <w:r w:rsidRPr="007674F2">
              <w:t xml:space="preserve">, such advantages are affected by the following: the type of business; transaction nature; business entity (sole </w:t>
            </w:r>
            <w:r w:rsidRPr="00D23AFC">
              <w:t>proprietorship</w:t>
            </w:r>
            <w:r w:rsidRPr="007674F2">
              <w:t>, partnership, joint venture, trust, or incorporated company); location of business activity (either on or off First Nations lands); and the specific First Nation and its applicable governance. Effective May 11, 2023,</w:t>
            </w:r>
            <w:r w:rsidR="002D55B0">
              <w:t xml:space="preserve"> </w:t>
            </w:r>
            <w:r w:rsidR="00136DEF">
              <w:t>t</w:t>
            </w:r>
            <w:r w:rsidRPr="007674F2">
              <w:t xml:space="preserve">he </w:t>
            </w:r>
            <w:r w:rsidRPr="007674F2">
              <w:rPr>
                <w:i/>
              </w:rPr>
              <w:t xml:space="preserve">Treaty First Nation </w:t>
            </w:r>
            <w:r w:rsidR="002C30AB">
              <w:rPr>
                <w:i/>
              </w:rPr>
              <w:t xml:space="preserve">Property </w:t>
            </w:r>
            <w:r w:rsidRPr="007674F2">
              <w:rPr>
                <w:i/>
              </w:rPr>
              <w:t xml:space="preserve">Taxation </w:t>
            </w:r>
            <w:r w:rsidR="002C30AB">
              <w:rPr>
                <w:i/>
              </w:rPr>
              <w:t xml:space="preserve">Enabling </w:t>
            </w:r>
            <w:r w:rsidRPr="007674F2">
              <w:rPr>
                <w:i/>
              </w:rPr>
              <w:t>Act</w:t>
            </w:r>
            <w:r w:rsidRPr="007674F2">
              <w:t xml:space="preserve">, S.B.C 2007, c. 38, and the </w:t>
            </w:r>
            <w:r w:rsidRPr="007674F2">
              <w:rPr>
                <w:i/>
              </w:rPr>
              <w:t>Nis</w:t>
            </w:r>
            <w:r w:rsidRPr="007674F2">
              <w:rPr>
                <w:i/>
                <w:u w:val="single"/>
              </w:rPr>
              <w:t>g</w:t>
            </w:r>
            <w:r w:rsidRPr="007674F2">
              <w:rPr>
                <w:i/>
              </w:rPr>
              <w:t>a’a Final Agreement Act</w:t>
            </w:r>
            <w:r w:rsidRPr="007674F2">
              <w:t>, S.B.C. 1999, c. 2</w:t>
            </w:r>
            <w:r w:rsidR="00136DEF">
              <w:t xml:space="preserve"> were amended to </w:t>
            </w:r>
            <w:proofErr w:type="gramStart"/>
            <w:r w:rsidR="00136DEF">
              <w:t xml:space="preserve">authorize </w:t>
            </w:r>
            <w:r w:rsidRPr="007674F2">
              <w:t xml:space="preserve"> treaty</w:t>
            </w:r>
            <w:proofErr w:type="gramEnd"/>
            <w:r w:rsidRPr="007674F2">
              <w:t xml:space="preserve"> First Nations and the Nis</w:t>
            </w:r>
            <w:r w:rsidRPr="007674F2">
              <w:rPr>
                <w:u w:val="single"/>
              </w:rPr>
              <w:t>g</w:t>
            </w:r>
            <w:r w:rsidRPr="007674F2">
              <w:t xml:space="preserve">a’a </w:t>
            </w:r>
            <w:r w:rsidR="00FF5F34">
              <w:t>N</w:t>
            </w:r>
            <w:r w:rsidRPr="007674F2">
              <w:t>ation, respectively, to implement exemptions f</w:t>
            </w:r>
            <w:r w:rsidR="00FF5F34">
              <w:t>r</w:t>
            </w:r>
            <w:r w:rsidRPr="007674F2">
              <w:t>o</w:t>
            </w:r>
            <w:r w:rsidR="00FF5F34">
              <w:t>m</w:t>
            </w:r>
            <w:r w:rsidRPr="007674F2">
              <w:t xml:space="preserve"> property </w:t>
            </w:r>
            <w:r w:rsidR="00FF5F34">
              <w:t xml:space="preserve">taxes in relation to the ownership or </w:t>
            </w:r>
            <w:r w:rsidR="00CA4796">
              <w:br/>
            </w:r>
          </w:p>
        </w:tc>
      </w:tr>
      <w:tr w:rsidR="00CA4796" w14:paraId="47CED02F" w14:textId="77777777" w:rsidTr="008A69BF">
        <w:tc>
          <w:tcPr>
            <w:tcW w:w="9350" w:type="dxa"/>
            <w:vAlign w:val="center"/>
          </w:tcPr>
          <w:p w14:paraId="53E65EC7" w14:textId="54DEAAEA" w:rsidR="00CA4796" w:rsidRPr="0025632B" w:rsidRDefault="00CA4796" w:rsidP="00CA4796">
            <w:pPr>
              <w:pStyle w:val="Newdevelopmentbulletfirstlevel"/>
              <w:numPr>
                <w:ilvl w:val="0"/>
                <w:numId w:val="0"/>
              </w:numPr>
              <w:ind w:left="576"/>
              <w:rPr>
                <w:b/>
              </w:rPr>
            </w:pPr>
            <w:r>
              <w:lastRenderedPageBreak/>
              <w:t xml:space="preserve">occupation </w:t>
            </w:r>
            <w:r w:rsidRPr="007674F2">
              <w:t xml:space="preserve">on their lands. </w:t>
            </w:r>
            <w:r>
              <w:t xml:space="preserve">Further amendments to the </w:t>
            </w:r>
            <w:r>
              <w:rPr>
                <w:i/>
                <w:iCs/>
              </w:rPr>
              <w:t xml:space="preserve">Treaty First Nation Property Taxation Enabling </w:t>
            </w:r>
            <w:r w:rsidRPr="002D55B0">
              <w:rPr>
                <w:i/>
                <w:iCs/>
              </w:rPr>
              <w:t>Act</w:t>
            </w:r>
            <w:r>
              <w:rPr>
                <w:i/>
                <w:iCs/>
              </w:rPr>
              <w:t xml:space="preserve"> </w:t>
            </w:r>
            <w:r>
              <w:t xml:space="preserve">and the </w:t>
            </w:r>
            <w:r w:rsidRPr="007674F2">
              <w:rPr>
                <w:i/>
              </w:rPr>
              <w:t>Nis</w:t>
            </w:r>
            <w:r w:rsidRPr="007674F2">
              <w:rPr>
                <w:i/>
                <w:u w:val="single"/>
              </w:rPr>
              <w:t>g</w:t>
            </w:r>
            <w:r w:rsidRPr="007674F2">
              <w:rPr>
                <w:i/>
              </w:rPr>
              <w:t>a’a</w:t>
            </w:r>
            <w:r>
              <w:t xml:space="preserve"> </w:t>
            </w:r>
            <w:r>
              <w:rPr>
                <w:i/>
                <w:iCs/>
              </w:rPr>
              <w:t xml:space="preserve">Final Agreement Act </w:t>
            </w:r>
            <w:r>
              <w:t xml:space="preserve">became effective on April 25, 2024, authorizing treaty First Nations </w:t>
            </w:r>
            <w:proofErr w:type="gramStart"/>
            <w:r>
              <w:t>and  the</w:t>
            </w:r>
            <w:proofErr w:type="gramEnd"/>
            <w:r>
              <w:t xml:space="preserve"> Nis</w:t>
            </w:r>
            <w:r w:rsidRPr="002D55B0">
              <w:rPr>
                <w:u w:val="single"/>
              </w:rPr>
              <w:t>g</w:t>
            </w:r>
            <w:r>
              <w:t xml:space="preserve">a’a Nation to impose property taxes on the interests of non-members in accordance with that First Nation’s real property tax agreement during the 2025 taxation year and thereafter. </w:t>
            </w:r>
            <w:r w:rsidRPr="007674F2">
              <w:t>Businesses engaging in activities on First Nations lands, lands subject to treaty rights, or lands over which there are claims of Aboriginal rights or title are strongly encouraged to familiarize themselves with applicable laws and policies. Consider seeking the advice of a lawyer who has experience in Aboriginal law matters. Further information on Aboriginal law issues is available on the “Aboriginal Law” page on the “Practice Areas” section of the Continuing Legal Education Society of British Columbia website (</w:t>
            </w:r>
            <w:hyperlink r:id="rId10" w:history="1">
              <w:r w:rsidRPr="007674F2">
                <w:rPr>
                  <w:rStyle w:val="Hyperlink"/>
                </w:rPr>
                <w:t>www.cle.bc.ca</w:t>
              </w:r>
            </w:hyperlink>
            <w:r w:rsidRPr="007674F2">
              <w:t xml:space="preserve">) and in other CLEBC publications. See also </w:t>
            </w:r>
            <w:r w:rsidRPr="007674F2">
              <w:rPr>
                <w:i/>
              </w:rPr>
              <w:t xml:space="preserve">Negotiating </w:t>
            </w:r>
            <w:r>
              <w:rPr>
                <w:i/>
              </w:rPr>
              <w:t>&amp;</w:t>
            </w:r>
            <w:r w:rsidRPr="007674F2">
              <w:rPr>
                <w:i/>
              </w:rPr>
              <w:t xml:space="preserve"> Structuring Business Transactions with First Nations 2011</w:t>
            </w:r>
            <w:r w:rsidRPr="007674F2">
              <w:t xml:space="preserve"> (CLEBC, 2011) as well as M.J. MacDonald, “First Nations Partnerships”, in </w:t>
            </w:r>
            <w:r w:rsidRPr="007674F2">
              <w:rPr>
                <w:i/>
              </w:rPr>
              <w:t>Working with Partnerships 2016</w:t>
            </w:r>
            <w:r w:rsidRPr="007674F2">
              <w:t xml:space="preserve"> (CLEBC, 2016), available through CLEBC Courses on Demand.</w:t>
            </w:r>
          </w:p>
        </w:tc>
      </w:tr>
      <w:tr w:rsidR="006C189C" w14:paraId="457B478A" w14:textId="77777777" w:rsidTr="008A69BF">
        <w:tc>
          <w:tcPr>
            <w:tcW w:w="9350" w:type="dxa"/>
            <w:vAlign w:val="center"/>
          </w:tcPr>
          <w:p w14:paraId="4B924559" w14:textId="34D39BA3" w:rsidR="00E63554" w:rsidRPr="00E63554" w:rsidRDefault="00E63554" w:rsidP="00D23AFC">
            <w:pPr>
              <w:pStyle w:val="Newdevelopmentbulletfirstlevel"/>
            </w:pPr>
            <w:r w:rsidRPr="00E572CE">
              <w:rPr>
                <w:b/>
              </w:rPr>
              <w:t>Money laundering—companies, trusts, and other entities.</w:t>
            </w:r>
            <w:r w:rsidRPr="00E572CE">
              <w:t xml:space="preserve"> As a means of laundering money, criminals use ordinary legal instruments, (such as shell and numbered companies, bare trusts, and nominees) in the attempt to disguise the true owners of real property, the beneficial owners. These efforts can be hard to detect. As such, lawyers must assess the facts and context of the proposed retainer and financial transactions. Lawyers should be aware of red flags, and if a lawyer has doubts or suspicions about whether they could be assisting in any </w:t>
            </w:r>
            <w:r w:rsidRPr="00D23AFC">
              <w:t>dishonesty</w:t>
            </w:r>
            <w:r w:rsidRPr="00E572CE">
              <w:t xml:space="preserve">, crime, or fraud, they should make enough inquiries to determine whether it is appropriate to act </w:t>
            </w:r>
            <w:r w:rsidR="00532360">
              <w:t xml:space="preserve">and make a record of the results of their inquiries </w:t>
            </w:r>
            <w:r w:rsidRPr="007F5F3F">
              <w:t>(</w:t>
            </w:r>
            <w:r w:rsidRPr="007F5F3F">
              <w:rPr>
                <w:i/>
              </w:rPr>
              <w:t>BC Code</w:t>
            </w:r>
            <w:r w:rsidRPr="007F5F3F">
              <w:t xml:space="preserve"> rules 3.2-7 and 3.2-8 and Law Society Rules 3-103(4</w:t>
            </w:r>
            <w:r w:rsidR="00751070">
              <w:t>)</w:t>
            </w:r>
            <w:r w:rsidRPr="007F5F3F">
              <w:t xml:space="preserve">), </w:t>
            </w:r>
            <w:r w:rsidR="00854776">
              <w:br/>
            </w:r>
            <w:r w:rsidRPr="007F5F3F">
              <w:t>3-109</w:t>
            </w:r>
            <w:r w:rsidR="00F06926">
              <w:t>,</w:t>
            </w:r>
            <w:r w:rsidR="00381EBF">
              <w:t xml:space="preserve"> </w:t>
            </w:r>
            <w:r w:rsidRPr="007F5F3F">
              <w:t>and 3-110).</w:t>
            </w:r>
            <w:r w:rsidRPr="00E572CE">
              <w:t xml:space="preserve"> See the </w:t>
            </w:r>
            <w:r w:rsidR="001F07D3">
              <w:t xml:space="preserve">anti-money laundering </w:t>
            </w:r>
            <w:r w:rsidRPr="00E572CE">
              <w:t xml:space="preserve">resources on the Law Society’s </w:t>
            </w:r>
            <w:r w:rsidR="0087002C">
              <w:t>“</w:t>
            </w:r>
            <w:r w:rsidRPr="00E572CE">
              <w:t>Client ID &amp; Verification</w:t>
            </w:r>
            <w:r w:rsidR="0087002C">
              <w:t>”</w:t>
            </w:r>
            <w:r w:rsidRPr="00E572CE">
              <w:t xml:space="preserve"> </w:t>
            </w:r>
            <w:hyperlink r:id="rId11" w:history="1">
              <w:r w:rsidRPr="00E10125">
                <w:rPr>
                  <w:rStyle w:val="Hyperlink"/>
                </w:rPr>
                <w:t>webpage</w:t>
              </w:r>
            </w:hyperlink>
            <w:r w:rsidR="0087002C">
              <w:t>,</w:t>
            </w:r>
            <w:r w:rsidRPr="00E572CE">
              <w:t xml:space="preserve"> </w:t>
            </w:r>
            <w:r w:rsidR="00354CBA">
              <w:t>including</w:t>
            </w:r>
            <w:r w:rsidR="0087002C">
              <w:t>:</w:t>
            </w:r>
            <w:r w:rsidRPr="00E572CE">
              <w:t xml:space="preserve"> </w:t>
            </w:r>
            <w:r w:rsidR="00F0713E">
              <w:t>“Forming Companies and Other Structures–Managing the Risk”;</w:t>
            </w:r>
            <w:r w:rsidRPr="00E572CE">
              <w:t xml:space="preserve"> </w:t>
            </w:r>
            <w:r w:rsidR="0087002C">
              <w:t>“</w:t>
            </w:r>
            <w:r w:rsidRPr="00E572CE">
              <w:t>Source of Money FAQs</w:t>
            </w:r>
            <w:r w:rsidR="0087002C">
              <w:t>”;</w:t>
            </w:r>
            <w:r w:rsidRPr="00E572CE">
              <w:t xml:space="preserve"> </w:t>
            </w:r>
            <w:r w:rsidR="0087002C">
              <w:t>“</w:t>
            </w:r>
            <w:r w:rsidRPr="00E572CE">
              <w:t>Risk Assessment Case Studies for the Legal Profession</w:t>
            </w:r>
            <w:r w:rsidR="0087002C">
              <w:t>”;</w:t>
            </w:r>
            <w:r w:rsidR="001F563C">
              <w:t xml:space="preserve"> </w:t>
            </w:r>
            <w:r w:rsidR="0087002C">
              <w:t>“</w:t>
            </w:r>
            <w:r w:rsidRPr="00E572CE">
              <w:t>Red Flags Quick Reference Guide</w:t>
            </w:r>
            <w:r w:rsidR="0087002C">
              <w:t>”</w:t>
            </w:r>
            <w:r w:rsidR="008206C3">
              <w:t xml:space="preserve">; </w:t>
            </w:r>
            <w:r w:rsidR="0087002C">
              <w:t>“</w:t>
            </w:r>
            <w:r w:rsidRPr="00E572CE">
              <w:t>Risk Advisories for the Legal Profession</w:t>
            </w:r>
            <w:r w:rsidR="0087002C">
              <w:t>”</w:t>
            </w:r>
            <w:r w:rsidR="00D60AD8">
              <w:t>;</w:t>
            </w:r>
            <w:r w:rsidR="0087002C">
              <w:t xml:space="preserve"> </w:t>
            </w:r>
            <w:r w:rsidRPr="00E572CE">
              <w:t xml:space="preserve">and </w:t>
            </w:r>
            <w:r w:rsidR="00E71A7E">
              <w:t xml:space="preserve">free online Law Society and Federation of Law Societies of Canada courses. Also see </w:t>
            </w:r>
            <w:r w:rsidRPr="00E572CE">
              <w:t xml:space="preserve">the </w:t>
            </w:r>
            <w:r w:rsidR="006231C5" w:rsidRPr="008705C2">
              <w:t>Discipline Advisories</w:t>
            </w:r>
            <w:r w:rsidR="0087002C">
              <w:t xml:space="preserve"> (an updated list can be found at </w:t>
            </w:r>
            <w:hyperlink r:id="rId12" w:history="1">
              <w:r w:rsidR="0087002C" w:rsidRPr="009349E3">
                <w:rPr>
                  <w:rStyle w:val="Hyperlink"/>
                </w:rPr>
                <w:t>www.lawsociety.bc.ca/for-lawyers/discipline-advisories/</w:t>
              </w:r>
            </w:hyperlink>
            <w:r w:rsidR="0087002C">
              <w:t>), which include topics such as</w:t>
            </w:r>
            <w:r w:rsidR="006C32D1">
              <w:t xml:space="preserve"> </w:t>
            </w:r>
            <w:r w:rsidR="00327CED">
              <w:t xml:space="preserve">Securities fraud: Micro-cap stocks, </w:t>
            </w:r>
            <w:r w:rsidR="006C32D1">
              <w:t>Client ID and Verification, C</w:t>
            </w:r>
            <w:r w:rsidRPr="00E572CE">
              <w:t>ountry/geographic risk</w:t>
            </w:r>
            <w:r>
              <w:t xml:space="preserve"> </w:t>
            </w:r>
            <w:r w:rsidRPr="00E572CE">
              <w:t>and</w:t>
            </w:r>
            <w:r>
              <w:t xml:space="preserve"> </w:t>
            </w:r>
            <w:r w:rsidR="006C32D1">
              <w:t>P</w:t>
            </w:r>
            <w:r w:rsidRPr="00E572CE">
              <w:t xml:space="preserve">rivate lending. Lawyers may contact a Law Society practice advisor at </w:t>
            </w:r>
            <w:hyperlink r:id="rId13" w:history="1">
              <w:r w:rsidRPr="00E572CE">
                <w:rPr>
                  <w:rStyle w:val="Hyperlink"/>
                </w:rPr>
                <w:t>practiceadvice@lsbc.org</w:t>
              </w:r>
            </w:hyperlink>
            <w:r w:rsidRPr="00E572CE">
              <w:t xml:space="preserve"> for a consultation about the applicable </w:t>
            </w:r>
            <w:r w:rsidRPr="00E572CE">
              <w:rPr>
                <w:i/>
              </w:rPr>
              <w:t xml:space="preserve">BC Code </w:t>
            </w:r>
            <w:r w:rsidRPr="00E572CE">
              <w:t>rules and Law Society Rules and obtain guidance.</w:t>
            </w:r>
          </w:p>
        </w:tc>
      </w:tr>
      <w:tr w:rsidR="006C189C" w14:paraId="0014BA10" w14:textId="77777777" w:rsidTr="008A69BF">
        <w:tc>
          <w:tcPr>
            <w:tcW w:w="9350" w:type="dxa"/>
            <w:vAlign w:val="center"/>
          </w:tcPr>
          <w:p w14:paraId="5C1A82B1" w14:textId="16468B7B" w:rsidR="006C189C" w:rsidRDefault="00E63554" w:rsidP="00E8707E">
            <w:pPr>
              <w:pStyle w:val="Newdevelopmentbulletfirstlevel"/>
            </w:pPr>
            <w:r w:rsidRPr="00E572CE">
              <w:rPr>
                <w:b/>
              </w:rPr>
              <w:t>Tax alert.</w:t>
            </w:r>
            <w:r>
              <w:t xml:space="preserve"> As some aspects of a shareholders’ agreement may have significant tax implications for the parties, it is recommended the parties seek advice from their respective tax advisors.</w:t>
            </w:r>
          </w:p>
        </w:tc>
      </w:tr>
      <w:tr w:rsidR="00E63554" w14:paraId="52D18D90" w14:textId="77777777" w:rsidTr="008A69BF">
        <w:tc>
          <w:tcPr>
            <w:tcW w:w="9350" w:type="dxa"/>
            <w:vAlign w:val="center"/>
          </w:tcPr>
          <w:p w14:paraId="1BD4EE95" w14:textId="4B906A6D" w:rsidR="00E63554" w:rsidRPr="00E572CE" w:rsidRDefault="00B51554" w:rsidP="00E8707E">
            <w:pPr>
              <w:pStyle w:val="Newdevelopmentbulletfirstlevel"/>
              <w:rPr>
                <w:b/>
              </w:rPr>
            </w:pPr>
            <w:r>
              <w:rPr>
                <w:b/>
                <w:bCs/>
              </w:rPr>
              <w:t xml:space="preserve">Law Society of British Columbia. </w:t>
            </w:r>
            <w:r w:rsidRPr="00E46030">
              <w:rPr>
                <w:bCs/>
              </w:rPr>
              <w:t xml:space="preserve">For changes to the Law Society </w:t>
            </w:r>
            <w:r w:rsidRPr="00CD6608">
              <w:rPr>
                <w:bCs/>
              </w:rPr>
              <w:t xml:space="preserve">Rules and </w:t>
            </w:r>
            <w:r>
              <w:rPr>
                <w:bCs/>
              </w:rPr>
              <w:t xml:space="preserve">other Law Society updates and </w:t>
            </w:r>
            <w:r w:rsidRPr="00CD6608">
              <w:rPr>
                <w:bCs/>
              </w:rPr>
              <w:t>issues “</w:t>
            </w:r>
            <w:r>
              <w:rPr>
                <w:bCs/>
              </w:rPr>
              <w:t>o</w:t>
            </w:r>
            <w:r w:rsidRPr="00CD6608">
              <w:rPr>
                <w:bCs/>
              </w:rPr>
              <w:t xml:space="preserve">f note”, </w:t>
            </w:r>
            <w:r w:rsidRPr="00C82D21">
              <w:rPr>
                <w:bCs/>
              </w:rPr>
              <w:t xml:space="preserve">see </w:t>
            </w:r>
            <w:r w:rsidRPr="00477386">
              <w:rPr>
                <w:smallCaps/>
              </w:rPr>
              <w:t>law society notable updates list</w:t>
            </w:r>
            <w:r>
              <w:rPr>
                <w:bCs/>
              </w:rPr>
              <w:t xml:space="preserve"> (A-3)</w:t>
            </w:r>
            <w:r w:rsidRPr="00C82D21">
              <w:rPr>
                <w:bCs/>
              </w:rPr>
              <w:t>.</w:t>
            </w:r>
          </w:p>
        </w:tc>
      </w:tr>
      <w:tr w:rsidR="00E63554" w14:paraId="27A582D2" w14:textId="77777777" w:rsidTr="008A69BF">
        <w:tc>
          <w:tcPr>
            <w:tcW w:w="9350" w:type="dxa"/>
            <w:vAlign w:val="center"/>
          </w:tcPr>
          <w:p w14:paraId="0446B54A" w14:textId="4E8487D3" w:rsidR="00E63554" w:rsidRPr="00E572CE" w:rsidRDefault="00B51554" w:rsidP="00E8707E">
            <w:pPr>
              <w:pStyle w:val="Newdevelopmentbulletfirstlevel"/>
              <w:rPr>
                <w:b/>
              </w:rPr>
            </w:pPr>
            <w:r w:rsidRPr="00900082">
              <w:rPr>
                <w:b/>
                <w:bCs/>
              </w:rPr>
              <w:t>Additional resources.</w:t>
            </w:r>
            <w:r w:rsidRPr="00900082">
              <w:t xml:space="preserve"> For more information about shareholders’ agreement procedures, see the </w:t>
            </w:r>
            <w:r w:rsidRPr="00900082">
              <w:rPr>
                <w:i/>
              </w:rPr>
              <w:t>British Columbia Company Law Practice Manual</w:t>
            </w:r>
            <w:r w:rsidRPr="00900082">
              <w:t>, 2nd ed.</w:t>
            </w:r>
            <w:r>
              <w:t xml:space="preserve"> </w:t>
            </w:r>
            <w:r w:rsidRPr="00900082">
              <w:rPr>
                <w:iCs/>
              </w:rPr>
              <w:t>(CLEBC, 2003</w:t>
            </w:r>
            <w:r>
              <w:rPr>
                <w:iCs/>
              </w:rPr>
              <w:t>–</w:t>
            </w:r>
            <w:r w:rsidRPr="00900082">
              <w:rPr>
                <w:iCs/>
              </w:rPr>
              <w:t>)</w:t>
            </w:r>
            <w:r w:rsidRPr="000054C7">
              <w:rPr>
                <w:iCs/>
              </w:rPr>
              <w:t xml:space="preserve">; </w:t>
            </w:r>
            <w:r w:rsidRPr="000054C7">
              <w:rPr>
                <w:i/>
                <w:iCs/>
              </w:rPr>
              <w:t xml:space="preserve">Company Law </w:t>
            </w:r>
            <w:proofErr w:type="spellStart"/>
            <w:r w:rsidRPr="000054C7">
              <w:rPr>
                <w:i/>
                <w:iCs/>
              </w:rPr>
              <w:t>Deskbook</w:t>
            </w:r>
            <w:proofErr w:type="spellEnd"/>
            <w:r w:rsidRPr="000054C7">
              <w:rPr>
                <w:iCs/>
              </w:rPr>
              <w:t xml:space="preserve"> (CLEBC, 2006–); and </w:t>
            </w:r>
            <w:r>
              <w:rPr>
                <w:i/>
                <w:iCs/>
              </w:rPr>
              <w:t xml:space="preserve">Advising British </w:t>
            </w:r>
            <w:r w:rsidRPr="000054C7">
              <w:rPr>
                <w:i/>
                <w:iCs/>
              </w:rPr>
              <w:t>Columbia Businesses</w:t>
            </w:r>
            <w:r w:rsidRPr="000054C7">
              <w:rPr>
                <w:iCs/>
              </w:rPr>
              <w:t xml:space="preserve"> (CLEBC, 2006–).</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5432D638" w:rsidR="002662C2" w:rsidRPr="00B51554" w:rsidRDefault="00B51554" w:rsidP="002662C2">
            <w:pPr>
              <w:pStyle w:val="ListParagraph"/>
              <w:numPr>
                <w:ilvl w:val="0"/>
                <w:numId w:val="6"/>
              </w:numPr>
              <w:spacing w:before="80" w:after="80"/>
              <w:rPr>
                <w:rFonts w:cs="Times New Roman"/>
                <w:b w:val="0"/>
                <w:bCs w:val="0"/>
              </w:rPr>
            </w:pPr>
            <w:r w:rsidRPr="00B51554">
              <w:rPr>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1C7B4CB5" w:rsidR="002662C2" w:rsidRPr="00B51554" w:rsidRDefault="00B51554" w:rsidP="002662C2">
            <w:pPr>
              <w:pStyle w:val="ListParagraph"/>
              <w:numPr>
                <w:ilvl w:val="0"/>
                <w:numId w:val="6"/>
              </w:numPr>
              <w:spacing w:before="80" w:after="80"/>
              <w:rPr>
                <w:rFonts w:cs="Times New Roman"/>
                <w:b w:val="0"/>
                <w:bCs w:val="0"/>
              </w:rPr>
            </w:pPr>
            <w:r w:rsidRPr="00B51554">
              <w:rPr>
                <w:b w:val="0"/>
                <w:bCs w:val="0"/>
              </w:rPr>
              <w:t>Initial Interview</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0F41C30F" w:rsidR="002662C2" w:rsidRPr="00B51554" w:rsidRDefault="00B51554" w:rsidP="002662C2">
            <w:pPr>
              <w:pStyle w:val="ListParagraph"/>
              <w:numPr>
                <w:ilvl w:val="0"/>
                <w:numId w:val="6"/>
              </w:numPr>
              <w:spacing w:before="80" w:after="80"/>
              <w:rPr>
                <w:rFonts w:cs="Times New Roman"/>
                <w:b w:val="0"/>
                <w:bCs w:val="0"/>
              </w:rPr>
            </w:pPr>
            <w:r w:rsidRPr="00B51554">
              <w:rPr>
                <w:b w:val="0"/>
                <w:bCs w:val="0"/>
              </w:rPr>
              <w:t>After the Initial Interview</w:t>
            </w:r>
          </w:p>
        </w:tc>
      </w:tr>
    </w:tbl>
    <w:p w14:paraId="4ACC4537" w14:textId="77777777" w:rsidR="00CA4796" w:rsidRDefault="00CA4796">
      <w:r>
        <w:rPr>
          <w:b/>
          <w:bCs/>
        </w:rPr>
        <w:br w:type="page"/>
      </w:r>
    </w:p>
    <w:tbl>
      <w:tblPr>
        <w:tblStyle w:val="ListTable1Light-Accent1"/>
        <w:tblW w:w="0" w:type="auto"/>
        <w:tblLook w:val="04A0" w:firstRow="1" w:lastRow="0" w:firstColumn="1" w:lastColumn="0" w:noHBand="0" w:noVBand="1"/>
      </w:tblPr>
      <w:tblGrid>
        <w:gridCol w:w="9350"/>
      </w:tblGrid>
      <w:tr w:rsidR="002662C2" w14:paraId="2EDC5BE9" w14:textId="77777777" w:rsidTr="00BD2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tcPr>
          <w:p w14:paraId="44DB5F1B" w14:textId="74285831" w:rsidR="002662C2" w:rsidRPr="00B51554" w:rsidRDefault="00B51554" w:rsidP="002662C2">
            <w:pPr>
              <w:pStyle w:val="ListParagraph"/>
              <w:numPr>
                <w:ilvl w:val="0"/>
                <w:numId w:val="6"/>
              </w:numPr>
              <w:spacing w:before="80" w:after="80"/>
              <w:rPr>
                <w:rFonts w:cs="Times New Roman"/>
                <w:b w:val="0"/>
                <w:bCs w:val="0"/>
              </w:rPr>
            </w:pPr>
            <w:r w:rsidRPr="00B51554">
              <w:rPr>
                <w:b w:val="0"/>
                <w:bCs w:val="0"/>
              </w:rPr>
              <w:lastRenderedPageBreak/>
              <w:t>Drafting the Agreement</w:t>
            </w:r>
          </w:p>
        </w:tc>
      </w:tr>
      <w:tr w:rsidR="00B51554" w14:paraId="085C3C67" w14:textId="77777777" w:rsidTr="00BD2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D09B471" w14:textId="13AE2D16" w:rsidR="00B51554" w:rsidRPr="00B51554" w:rsidRDefault="00B51554" w:rsidP="002662C2">
            <w:pPr>
              <w:pStyle w:val="ListParagraph"/>
              <w:numPr>
                <w:ilvl w:val="0"/>
                <w:numId w:val="6"/>
              </w:numPr>
              <w:spacing w:before="80" w:after="80"/>
              <w:rPr>
                <w:rFonts w:cs="Times New Roman"/>
                <w:b w:val="0"/>
                <w:bCs w:val="0"/>
              </w:rPr>
            </w:pPr>
            <w:r w:rsidRPr="00B51554">
              <w:rPr>
                <w:b w:val="0"/>
                <w:bCs w:val="0"/>
              </w:rPr>
              <w:t>Closing the File</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1CC4668D" w:rsidR="00EF1DBD" w:rsidRPr="0024237C" w:rsidRDefault="00BE4B87"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2438500E" w:rsidR="00EF1DBD" w:rsidRPr="006C189C" w:rsidRDefault="00BE4B87" w:rsidP="00EF1DBD">
            <w:pPr>
              <w:pStyle w:val="Heading1"/>
              <w:spacing w:before="80" w:after="80"/>
              <w:outlineLvl w:val="0"/>
            </w:pPr>
            <w:r w:rsidRPr="00336576">
              <w:t>INITIAL CONTACT</w:t>
            </w:r>
          </w:p>
        </w:tc>
      </w:tr>
      <w:tr w:rsidR="00F65855" w:rsidRPr="006C189C" w14:paraId="7C0AAF91" w14:textId="0A905023" w:rsidTr="003613B4">
        <w:tc>
          <w:tcPr>
            <w:tcW w:w="633" w:type="dxa"/>
          </w:tcPr>
          <w:p w14:paraId="5618118A" w14:textId="5B10C690" w:rsidR="00F65855" w:rsidRPr="006C189C" w:rsidRDefault="00BE4B87"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2BE9A86B" w:rsidR="00F65855" w:rsidRPr="006C189C" w:rsidRDefault="00BE4B87" w:rsidP="00BE4B87">
            <w:pPr>
              <w:pStyle w:val="Bullet1"/>
            </w:pPr>
            <w:r w:rsidRPr="00336576">
              <w:t>Arrange</w:t>
            </w:r>
            <w:r>
              <w:t xml:space="preserve"> the initial</w:t>
            </w:r>
            <w:r w:rsidRPr="00336576">
              <w:t xml:space="preserve"> interview.</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42425308" w:rsidR="00F65855" w:rsidRPr="006C189C" w:rsidRDefault="00BE4B87"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76074D9B" w14:textId="472FA55E" w:rsidR="00F65855" w:rsidRPr="006C189C" w:rsidRDefault="00BE4B87" w:rsidP="00BE4B87">
            <w:pPr>
              <w:pStyle w:val="Bullet1"/>
            </w:pPr>
            <w:r w:rsidRPr="00336576">
              <w:t>Ask the client to bring to the</w:t>
            </w:r>
            <w:r>
              <w:t xml:space="preserve"> initial</w:t>
            </w:r>
            <w:r w:rsidRPr="00336576">
              <w:t xml:space="preserve"> interview all relevant information, such as incorporation documents, notice of articles and articles, financial information, and any existing agreements to which the company or the shareholders are party (particularly if the company is already in existence).</w:t>
            </w:r>
          </w:p>
        </w:tc>
        <w:tc>
          <w:tcPr>
            <w:tcW w:w="900" w:type="dxa"/>
            <w:vAlign w:val="center"/>
          </w:tcPr>
          <w:p w14:paraId="400E2A31" w14:textId="6DA5CF8B" w:rsidR="00F65855" w:rsidRPr="006C189C" w:rsidRDefault="004F1ECA" w:rsidP="00210E66">
            <w:pPr>
              <w:pStyle w:val="Bullet2"/>
              <w:ind w:left="-104"/>
              <w:jc w:val="center"/>
            </w:pPr>
            <w:r w:rsidRPr="00437BB1">
              <w:rPr>
                <w:sz w:val="40"/>
                <w:szCs w:val="40"/>
              </w:rPr>
              <w:sym w:font="Wingdings 2" w:char="F0A3"/>
            </w:r>
          </w:p>
        </w:tc>
      </w:tr>
      <w:tr w:rsidR="00F65855" w:rsidRPr="006C189C" w14:paraId="0E2FA7B9" w14:textId="7A757642" w:rsidTr="003613B4">
        <w:tc>
          <w:tcPr>
            <w:tcW w:w="633" w:type="dxa"/>
          </w:tcPr>
          <w:p w14:paraId="57130172" w14:textId="45406E75" w:rsidR="00F65855" w:rsidRPr="006C189C" w:rsidRDefault="00BE4B87"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0F2B60DD" w14:textId="7323A181" w:rsidR="00F65855" w:rsidRPr="006C189C" w:rsidRDefault="00BE4B87" w:rsidP="00BE4B87">
            <w:pPr>
              <w:pStyle w:val="Bullet1"/>
            </w:pPr>
            <w:r>
              <w:t xml:space="preserve">Conduct a </w:t>
            </w:r>
            <w:proofErr w:type="gramStart"/>
            <w:r>
              <w:t>conflict of interest</w:t>
            </w:r>
            <w:proofErr w:type="gramEnd"/>
            <w:r>
              <w:t xml:space="preserve"> check and refer to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w:t>
            </w:r>
          </w:p>
        </w:tc>
        <w:tc>
          <w:tcPr>
            <w:tcW w:w="900" w:type="dxa"/>
            <w:vAlign w:val="center"/>
          </w:tcPr>
          <w:p w14:paraId="0746C7BA" w14:textId="0D17EBD4" w:rsidR="00F65855" w:rsidRDefault="004F1ECA" w:rsidP="00210E66">
            <w:pPr>
              <w:pStyle w:val="Bullet3"/>
              <w:ind w:left="-104"/>
              <w:jc w:val="center"/>
            </w:pPr>
            <w:r w:rsidRPr="00437BB1">
              <w:rPr>
                <w:sz w:val="40"/>
                <w:szCs w:val="40"/>
              </w:rPr>
              <w:sym w:font="Wingdings 2" w:char="F0A3"/>
            </w:r>
          </w:p>
        </w:tc>
      </w:tr>
      <w:tr w:rsidR="00F65855" w:rsidRPr="006C189C" w14:paraId="4DC3113D" w14:textId="4168E6E3" w:rsidTr="003613B4">
        <w:tc>
          <w:tcPr>
            <w:tcW w:w="633" w:type="dxa"/>
          </w:tcPr>
          <w:p w14:paraId="554228D7" w14:textId="1B20A31D" w:rsidR="00F65855" w:rsidRPr="006C189C" w:rsidRDefault="00BE4B87"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6625A8A1" w14:textId="61763D34" w:rsidR="00F65855" w:rsidRPr="006C189C" w:rsidRDefault="00BE4B87" w:rsidP="00BE4B87">
            <w:pPr>
              <w:pStyle w:val="Bullet1"/>
            </w:pPr>
            <w:r w:rsidRPr="00336576">
              <w:t xml:space="preserve">Confirm compliance with </w:t>
            </w:r>
            <w:r w:rsidRPr="007F5F3F">
              <w:t>Law Society Rules 3-98 to 3-110</w:t>
            </w:r>
            <w:r w:rsidRPr="00336576">
              <w:t xml:space="preserve"> </w:t>
            </w:r>
            <w:r>
              <w:t>for</w:t>
            </w:r>
            <w:r w:rsidRPr="00336576">
              <w:t xml:space="preserve"> client identification and verification</w:t>
            </w:r>
            <w:r>
              <w:t xml:space="preserve"> and the source of money for financial transactions</w:t>
            </w:r>
            <w:r w:rsidRPr="00336576">
              <w:t xml:space="preserve">, and complete the </w:t>
            </w:r>
            <w:r w:rsidRPr="00C47E21">
              <w:rPr>
                <w:smallCaps/>
              </w:rPr>
              <w:t>client identification</w:t>
            </w:r>
            <w:r>
              <w:rPr>
                <w:bCs/>
                <w:smallCaps/>
              </w:rPr>
              <w:t>, verification, and source of money</w:t>
            </w:r>
            <w:r w:rsidRPr="00C47E21">
              <w:rPr>
                <w:smallCaps/>
              </w:rPr>
              <w:t xml:space="preserve"> </w:t>
            </w:r>
            <w:r w:rsidRPr="003318A6">
              <w:t xml:space="preserve">(A-1) </w:t>
            </w:r>
            <w:r w:rsidRPr="00336576">
              <w:t>checklist.</w:t>
            </w:r>
            <w:r>
              <w:t xml:space="preserve"> </w:t>
            </w:r>
            <w:r w:rsidRPr="00875191">
              <w:t>Consider periodic monitoring requirements (</w:t>
            </w:r>
            <w:r>
              <w:t xml:space="preserve">Law Society </w:t>
            </w:r>
            <w:r w:rsidRPr="00875191">
              <w:t>Rule 3-110).</w:t>
            </w:r>
          </w:p>
        </w:tc>
        <w:tc>
          <w:tcPr>
            <w:tcW w:w="900" w:type="dxa"/>
            <w:vAlign w:val="center"/>
          </w:tcPr>
          <w:p w14:paraId="706E74C5" w14:textId="69BEDFE2" w:rsidR="00F65855" w:rsidRDefault="004F1ECA" w:rsidP="00210E66">
            <w:pPr>
              <w:pStyle w:val="Bullet4"/>
              <w:ind w:left="-104"/>
              <w:jc w:val="center"/>
            </w:pPr>
            <w:r w:rsidRPr="00437BB1">
              <w:rPr>
                <w:sz w:val="40"/>
                <w:szCs w:val="40"/>
              </w:rPr>
              <w:sym w:font="Wingdings 2" w:char="F0A3"/>
            </w:r>
          </w:p>
        </w:tc>
      </w:tr>
      <w:tr w:rsidR="00F65855" w:rsidRPr="006C189C" w14:paraId="205C3F98" w14:textId="58828F65" w:rsidTr="003613B4">
        <w:tc>
          <w:tcPr>
            <w:tcW w:w="633" w:type="dxa"/>
          </w:tcPr>
          <w:p w14:paraId="4F792873" w14:textId="68066BB6" w:rsidR="00F65855" w:rsidRPr="002A6052" w:rsidRDefault="00BE4B87" w:rsidP="003613B4">
            <w:pPr>
              <w:spacing w:before="80" w:after="80"/>
              <w:jc w:val="right"/>
              <w:rPr>
                <w:rFonts w:ascii="Times New Roman" w:hAnsi="Times New Roman" w:cs="Times New Roman"/>
              </w:rPr>
            </w:pPr>
            <w:r>
              <w:rPr>
                <w:rFonts w:ascii="Times New Roman" w:hAnsi="Times New Roman" w:cs="Times New Roman"/>
              </w:rPr>
              <w:t>1.5</w:t>
            </w:r>
          </w:p>
        </w:tc>
        <w:tc>
          <w:tcPr>
            <w:tcW w:w="7822" w:type="dxa"/>
            <w:vAlign w:val="center"/>
          </w:tcPr>
          <w:p w14:paraId="7611B511" w14:textId="714C148B" w:rsidR="00F65855" w:rsidRPr="006C189C" w:rsidRDefault="00BE4B87" w:rsidP="00BE4B87">
            <w:pPr>
              <w:pStyle w:val="Bullet1"/>
            </w:pPr>
            <w:r>
              <w:t xml:space="preserve">Know your client, understand the client’s financial dealings in relation to the retainer and manage any risks arising from your professional business relationship. Criminals sometimes use corporations and trusts to facilitate complex money laundering schemes. Consult the </w:t>
            </w:r>
            <w:r w:rsidRPr="00477386">
              <w:rPr>
                <w:smallCaps/>
              </w:rPr>
              <w:t>law society notable updates list</w:t>
            </w:r>
            <w:r>
              <w:t xml:space="preserve"> (A-3) for resources to assist you in combatting money laundering, and in particular, note the risk advisory for shell corporations and case studies with respect to the creation and management of trusts and companies. Consider the </w:t>
            </w:r>
            <w:r w:rsidRPr="00550E93">
              <w:rPr>
                <w:i/>
              </w:rPr>
              <w:t>Code of Profe</w:t>
            </w:r>
            <w:r w:rsidRPr="007D0932">
              <w:rPr>
                <w:i/>
              </w:rPr>
              <w:t>s</w:t>
            </w:r>
            <w:r w:rsidRPr="00BB7768">
              <w:rPr>
                <w:i/>
              </w:rPr>
              <w:t>sional Conduct for British Columbia</w:t>
            </w:r>
            <w:r>
              <w:t xml:space="preserve"> (the</w:t>
            </w:r>
            <w:r w:rsidRPr="008E647E">
              <w:t xml:space="preserve"> </w:t>
            </w:r>
            <w:r>
              <w:t>“</w:t>
            </w:r>
            <w:r w:rsidRPr="008E647E">
              <w:rPr>
                <w:i/>
              </w:rPr>
              <w:t>BC Code</w:t>
            </w:r>
            <w:r>
              <w:t xml:space="preserve">”), rules </w:t>
            </w:r>
            <w:r w:rsidRPr="007F5F3F">
              <w:t>3.2-7 to 3.2-8 and their commentaries and Law Society Rules 3-109 and 3-110.</w:t>
            </w:r>
          </w:p>
        </w:tc>
        <w:tc>
          <w:tcPr>
            <w:tcW w:w="900" w:type="dxa"/>
            <w:vAlign w:val="center"/>
          </w:tcPr>
          <w:p w14:paraId="23C3E9D7" w14:textId="02A0587F" w:rsidR="00F65855" w:rsidRDefault="00210E66" w:rsidP="00210E66">
            <w:pPr>
              <w:pStyle w:val="Bullet1"/>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570E46C3" w:rsidR="00EF1DBD" w:rsidRPr="0024237C" w:rsidRDefault="00BE4B87"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5645EEFB" w:rsidR="00EF1DBD" w:rsidRPr="006C189C" w:rsidRDefault="00BE4B87" w:rsidP="00EF1DBD">
            <w:pPr>
              <w:pStyle w:val="Heading1"/>
              <w:spacing w:before="80" w:after="80"/>
              <w:outlineLvl w:val="0"/>
            </w:pPr>
            <w:r w:rsidRPr="00336576">
              <w:t>INITIAL INTERVIEW</w:t>
            </w:r>
          </w:p>
        </w:tc>
      </w:tr>
      <w:tr w:rsidR="00210E66" w:rsidRPr="006C189C" w14:paraId="223508C8" w14:textId="0DCD74AD" w:rsidTr="003613B4">
        <w:tc>
          <w:tcPr>
            <w:tcW w:w="633" w:type="dxa"/>
          </w:tcPr>
          <w:p w14:paraId="48482055" w14:textId="308AFCFC" w:rsidR="00210E66" w:rsidRPr="004F1ECA" w:rsidRDefault="00BE4B87" w:rsidP="003613B4">
            <w:pPr>
              <w:spacing w:before="80" w:after="80"/>
              <w:jc w:val="right"/>
              <w:rPr>
                <w:rFonts w:ascii="Times New Roman" w:hAnsi="Times New Roman" w:cs="Times New Roman"/>
              </w:rPr>
            </w:pPr>
            <w:r w:rsidRPr="004F1ECA">
              <w:rPr>
                <w:rFonts w:ascii="Times New Roman" w:hAnsi="Times New Roman" w:cs="Times New Roman"/>
              </w:rPr>
              <w:t>2.1</w:t>
            </w:r>
          </w:p>
        </w:tc>
        <w:tc>
          <w:tcPr>
            <w:tcW w:w="7822" w:type="dxa"/>
            <w:vAlign w:val="center"/>
          </w:tcPr>
          <w:p w14:paraId="120D45A2" w14:textId="3485829F" w:rsidR="00210E66" w:rsidRPr="004F1ECA" w:rsidRDefault="00BE4B87" w:rsidP="00BE4B87">
            <w:pPr>
              <w:pStyle w:val="Bullet1"/>
            </w:pPr>
            <w:r w:rsidRPr="004F1ECA">
              <w:t xml:space="preserve">Discuss the terms of your retainer and the calculation of your fee. Refer to the </w:t>
            </w:r>
            <w:r w:rsidRPr="004F1ECA">
              <w:rPr>
                <w:bCs/>
                <w:smallCaps/>
              </w:rPr>
              <w:t xml:space="preserve">client </w:t>
            </w:r>
            <w:r w:rsidRPr="004F1ECA">
              <w:rPr>
                <w:smallCaps/>
              </w:rPr>
              <w:t>file opening and closing</w:t>
            </w:r>
            <w:r w:rsidRPr="004F1ECA">
              <w:t xml:space="preserve"> (A-2) checklist. Clarify your role and that of other advisors to the client. Make it clear for whom you are acting. The determination of who you will be acting for requires careful consideration. If you will be retained by more than one shareholder of the company, comply with </w:t>
            </w:r>
            <w:r w:rsidRPr="004F1ECA">
              <w:rPr>
                <w:i/>
              </w:rPr>
              <w:t xml:space="preserve">BC Code </w:t>
            </w:r>
            <w:r w:rsidRPr="004F1ECA">
              <w:t xml:space="preserve">rules 3.4-5 to 3.4-9, and refer to item 2.4 in the </w:t>
            </w:r>
            <w:r w:rsidRPr="004F1ECA">
              <w:rPr>
                <w:bCs/>
                <w:smallCaps/>
              </w:rPr>
              <w:t xml:space="preserve">client </w:t>
            </w:r>
            <w:r w:rsidRPr="004F1ECA">
              <w:rPr>
                <w:smallCaps/>
              </w:rPr>
              <w:t>file opening and closing</w:t>
            </w:r>
            <w:r w:rsidRPr="004F1ECA" w:rsidDel="0045108E">
              <w:t xml:space="preserve"> </w:t>
            </w:r>
            <w:r w:rsidRPr="004F1ECA">
              <w:t xml:space="preserve">(A-2) checklist. It would rarely be possible to act for all shareholders jointly in settling a shareholders’ agreement and be in compliance with </w:t>
            </w:r>
            <w:r w:rsidRPr="004F1ECA">
              <w:rPr>
                <w:i/>
              </w:rPr>
              <w:t xml:space="preserve">BC Code </w:t>
            </w:r>
            <w:r w:rsidRPr="004F1ECA">
              <w:t>rule 3.4-5. Since all of the parties to the agreement will not have the same interests, the usual way to proceed is to act for one party (or more than one if it is reasonably determined that they have the same interests) and urge the others, in writing, to seek independent legal representation (</w:t>
            </w:r>
            <w:r w:rsidRPr="004F1ECA">
              <w:rPr>
                <w:i/>
              </w:rPr>
              <w:t>BC Code</w:t>
            </w:r>
            <w:r w:rsidRPr="004F1ECA">
              <w:t>, rule 7.2-9).</w:t>
            </w:r>
            <w:r w:rsidR="00E30706">
              <w:t xml:space="preserve"> If you are acting for a company, unless acting under a joint retainer, be clear that you are acting for the company and not for individuals associated with the company, such as the shareholders or directors (</w:t>
            </w:r>
            <w:r w:rsidR="00E30706">
              <w:rPr>
                <w:i/>
                <w:iCs/>
              </w:rPr>
              <w:t xml:space="preserve">BC Code, </w:t>
            </w:r>
            <w:r w:rsidR="00E30706">
              <w:t>rule 3.2-3).</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bl>
    <w:p w14:paraId="38691C2D" w14:textId="77777777" w:rsidR="00854776" w:rsidRDefault="00854776">
      <w:r>
        <w:br w:type="page"/>
      </w:r>
    </w:p>
    <w:tbl>
      <w:tblPr>
        <w:tblStyle w:val="TableGrid"/>
        <w:tblW w:w="9355" w:type="dxa"/>
        <w:tblLook w:val="04A0" w:firstRow="1" w:lastRow="0" w:firstColumn="1" w:lastColumn="0" w:noHBand="0" w:noVBand="1"/>
      </w:tblPr>
      <w:tblGrid>
        <w:gridCol w:w="633"/>
        <w:gridCol w:w="7822"/>
        <w:gridCol w:w="900"/>
      </w:tblGrid>
      <w:tr w:rsidR="00210E66" w:rsidRPr="006C189C" w14:paraId="48296D59" w14:textId="4603483F" w:rsidTr="003613B4">
        <w:tc>
          <w:tcPr>
            <w:tcW w:w="633" w:type="dxa"/>
          </w:tcPr>
          <w:p w14:paraId="679EAB95" w14:textId="4F52D959" w:rsidR="00210E66" w:rsidRPr="004F1ECA" w:rsidRDefault="00BE4B87" w:rsidP="003613B4">
            <w:pPr>
              <w:spacing w:before="80" w:after="80"/>
              <w:jc w:val="right"/>
              <w:rPr>
                <w:rFonts w:ascii="Times New Roman" w:hAnsi="Times New Roman" w:cs="Times New Roman"/>
              </w:rPr>
            </w:pPr>
            <w:r w:rsidRPr="004F1ECA">
              <w:rPr>
                <w:rFonts w:ascii="Times New Roman" w:hAnsi="Times New Roman" w:cs="Times New Roman"/>
              </w:rPr>
              <w:lastRenderedPageBreak/>
              <w:t>2.2</w:t>
            </w:r>
          </w:p>
        </w:tc>
        <w:tc>
          <w:tcPr>
            <w:tcW w:w="7822" w:type="dxa"/>
            <w:vAlign w:val="center"/>
          </w:tcPr>
          <w:p w14:paraId="4D29658B" w14:textId="0F233A98" w:rsidR="00210E66" w:rsidRPr="004F1ECA" w:rsidRDefault="00BE4B87" w:rsidP="00BE4B87">
            <w:pPr>
              <w:pStyle w:val="Bullet1"/>
            </w:pPr>
            <w:r w:rsidRPr="004F1ECA">
              <w:t>Discuss the background of the parties and their relationship, including their relative ages, the relative importance of the parties to the business of the company and their respective financial positions, the business of the company, the general nature of the proposed agreement as your client understands it, and your client’s objectives and expectations.</w:t>
            </w:r>
          </w:p>
        </w:tc>
        <w:tc>
          <w:tcPr>
            <w:tcW w:w="900" w:type="dxa"/>
            <w:vAlign w:val="center"/>
          </w:tcPr>
          <w:p w14:paraId="06F76791" w14:textId="5A9FBFF6" w:rsidR="00210E66" w:rsidRPr="006C189C" w:rsidRDefault="004F1ECA" w:rsidP="00210E66">
            <w:pPr>
              <w:pStyle w:val="Bullet2"/>
              <w:ind w:left="0"/>
              <w:jc w:val="center"/>
            </w:pPr>
            <w:r w:rsidRPr="00437BB1">
              <w:rPr>
                <w:sz w:val="40"/>
                <w:szCs w:val="40"/>
              </w:rPr>
              <w:sym w:font="Wingdings 2" w:char="F0A3"/>
            </w:r>
          </w:p>
        </w:tc>
      </w:tr>
      <w:tr w:rsidR="00210E66" w:rsidRPr="006C189C" w14:paraId="1617DE33" w14:textId="5C4CCE83" w:rsidTr="003613B4">
        <w:tc>
          <w:tcPr>
            <w:tcW w:w="633" w:type="dxa"/>
          </w:tcPr>
          <w:p w14:paraId="7854BFBA" w14:textId="32D8C34F" w:rsidR="00210E66" w:rsidRPr="004F1ECA" w:rsidRDefault="00BE4B87" w:rsidP="003613B4">
            <w:pPr>
              <w:spacing w:before="80" w:after="80"/>
              <w:jc w:val="right"/>
              <w:rPr>
                <w:rFonts w:ascii="Times New Roman" w:hAnsi="Times New Roman" w:cs="Times New Roman"/>
              </w:rPr>
            </w:pPr>
            <w:r w:rsidRPr="004F1ECA">
              <w:rPr>
                <w:rFonts w:ascii="Times New Roman" w:hAnsi="Times New Roman" w:cs="Times New Roman"/>
              </w:rPr>
              <w:t>2.3</w:t>
            </w:r>
          </w:p>
        </w:tc>
        <w:tc>
          <w:tcPr>
            <w:tcW w:w="7822" w:type="dxa"/>
            <w:vAlign w:val="center"/>
          </w:tcPr>
          <w:p w14:paraId="664C3EF3" w14:textId="64898CC7" w:rsidR="00210E66" w:rsidRPr="004F1ECA" w:rsidRDefault="00BE4B87" w:rsidP="00BE4B87">
            <w:pPr>
              <w:pStyle w:val="Bullet1"/>
            </w:pPr>
            <w:r w:rsidRPr="004F1ECA">
              <w:t>If the company has not been incorporated:</w:t>
            </w:r>
          </w:p>
        </w:tc>
        <w:tc>
          <w:tcPr>
            <w:tcW w:w="900" w:type="dxa"/>
            <w:vAlign w:val="center"/>
          </w:tcPr>
          <w:p w14:paraId="099B5135" w14:textId="3D94188F" w:rsidR="00210E66" w:rsidRDefault="004F1ECA" w:rsidP="00210E66">
            <w:pPr>
              <w:pStyle w:val="Bullet3"/>
              <w:ind w:left="0"/>
              <w:jc w:val="center"/>
            </w:pPr>
            <w:r w:rsidRPr="00437BB1">
              <w:rPr>
                <w:sz w:val="40"/>
                <w:szCs w:val="40"/>
              </w:rPr>
              <w:sym w:font="Wingdings 2" w:char="F0A3"/>
            </w:r>
          </w:p>
        </w:tc>
      </w:tr>
      <w:tr w:rsidR="00210E66" w:rsidRPr="006C189C" w14:paraId="4D299487" w14:textId="26871B06" w:rsidTr="003613B4">
        <w:tc>
          <w:tcPr>
            <w:tcW w:w="633" w:type="dxa"/>
          </w:tcPr>
          <w:p w14:paraId="2CB40FEA" w14:textId="77777777" w:rsidR="00210E66" w:rsidRPr="004F1ECA" w:rsidRDefault="00210E66" w:rsidP="003613B4">
            <w:pPr>
              <w:spacing w:before="80" w:after="80"/>
              <w:jc w:val="right"/>
              <w:rPr>
                <w:rFonts w:ascii="Times New Roman" w:hAnsi="Times New Roman" w:cs="Times New Roman"/>
              </w:rPr>
            </w:pPr>
          </w:p>
        </w:tc>
        <w:tc>
          <w:tcPr>
            <w:tcW w:w="7822" w:type="dxa"/>
            <w:vAlign w:val="center"/>
          </w:tcPr>
          <w:p w14:paraId="12D33F21" w14:textId="34019518" w:rsidR="00210E66" w:rsidRPr="004F1ECA" w:rsidRDefault="00BE4B87" w:rsidP="00BE4B87">
            <w:pPr>
              <w:pStyle w:val="Bullet2"/>
              <w:ind w:hanging="319"/>
            </w:pPr>
            <w:r w:rsidRPr="004F1ECA">
              <w:t>.1</w:t>
            </w:r>
            <w:r w:rsidRPr="004F1ECA">
              <w:tab/>
              <w:t xml:space="preserve">Find out who will be drawing up the incorporation documents. If you are instructed to handle the incorporation, refer to the </w:t>
            </w:r>
            <w:r w:rsidRPr="004F1ECA">
              <w:rPr>
                <w:smallCaps/>
              </w:rPr>
              <w:t>incorporation—business corporations act procedure (B-5)</w:t>
            </w:r>
            <w:r w:rsidRPr="004F1ECA">
              <w:t xml:space="preserve"> checklist.</w:t>
            </w:r>
          </w:p>
        </w:tc>
        <w:tc>
          <w:tcPr>
            <w:tcW w:w="900" w:type="dxa"/>
            <w:vAlign w:val="center"/>
          </w:tcPr>
          <w:p w14:paraId="28247492" w14:textId="77777777" w:rsidR="00210E66" w:rsidRDefault="00210E66" w:rsidP="00210E66">
            <w:pPr>
              <w:pStyle w:val="Bullet4"/>
              <w:ind w:left="0"/>
              <w:jc w:val="center"/>
            </w:pPr>
          </w:p>
        </w:tc>
      </w:tr>
      <w:tr w:rsidR="00210E66" w:rsidRPr="006C189C" w14:paraId="6BAD4E91" w14:textId="1998D225" w:rsidTr="003613B4">
        <w:tc>
          <w:tcPr>
            <w:tcW w:w="633" w:type="dxa"/>
          </w:tcPr>
          <w:p w14:paraId="4F33DA15" w14:textId="284C35E1" w:rsidR="00210E66" w:rsidRPr="004F1ECA" w:rsidRDefault="00210E66" w:rsidP="003613B4">
            <w:pPr>
              <w:spacing w:before="80" w:after="80"/>
              <w:jc w:val="right"/>
              <w:rPr>
                <w:rFonts w:ascii="Times New Roman" w:hAnsi="Times New Roman" w:cs="Times New Roman"/>
              </w:rPr>
            </w:pPr>
          </w:p>
        </w:tc>
        <w:tc>
          <w:tcPr>
            <w:tcW w:w="7822" w:type="dxa"/>
            <w:vAlign w:val="center"/>
          </w:tcPr>
          <w:p w14:paraId="134225B5" w14:textId="6BEB5908" w:rsidR="00210E66" w:rsidRPr="004F1ECA" w:rsidRDefault="00BE4B87" w:rsidP="00BE4B87">
            <w:pPr>
              <w:pStyle w:val="Bullet2"/>
              <w:ind w:hanging="319"/>
            </w:pPr>
            <w:r w:rsidRPr="004F1ECA">
              <w:t>.2</w:t>
            </w:r>
            <w:r w:rsidRPr="004F1ECA">
              <w:tab/>
              <w:t>If the company is to be a party to the shareholders’ agreement, consider the need for a pre-incorporation agreement whereby the parties covenant to cause the company to enter into the agreement when it is incorporated.</w:t>
            </w:r>
          </w:p>
        </w:tc>
        <w:tc>
          <w:tcPr>
            <w:tcW w:w="900" w:type="dxa"/>
            <w:vAlign w:val="center"/>
          </w:tcPr>
          <w:p w14:paraId="16C28566" w14:textId="757EF7C5" w:rsidR="00210E66" w:rsidRDefault="00210E66" w:rsidP="00210E66">
            <w:pPr>
              <w:pStyle w:val="Bullet1"/>
              <w:jc w:val="center"/>
            </w:pPr>
          </w:p>
        </w:tc>
      </w:tr>
      <w:tr w:rsidR="00210E66" w:rsidRPr="006C189C" w14:paraId="15A1E4D0" w14:textId="3F84571F" w:rsidTr="003613B4">
        <w:tc>
          <w:tcPr>
            <w:tcW w:w="633" w:type="dxa"/>
          </w:tcPr>
          <w:p w14:paraId="72AC0B41" w14:textId="1DFA3F67" w:rsidR="00210E66" w:rsidRPr="004F1ECA" w:rsidRDefault="00100EF0" w:rsidP="003613B4">
            <w:pPr>
              <w:spacing w:before="80" w:after="80"/>
              <w:jc w:val="right"/>
              <w:rPr>
                <w:rFonts w:ascii="Times New Roman" w:hAnsi="Times New Roman" w:cs="Times New Roman"/>
              </w:rPr>
            </w:pPr>
            <w:r w:rsidRPr="004F1ECA">
              <w:rPr>
                <w:rFonts w:ascii="Times New Roman" w:hAnsi="Times New Roman" w:cs="Times New Roman"/>
              </w:rPr>
              <w:t>2.4</w:t>
            </w:r>
          </w:p>
        </w:tc>
        <w:tc>
          <w:tcPr>
            <w:tcW w:w="7822" w:type="dxa"/>
            <w:vAlign w:val="center"/>
          </w:tcPr>
          <w:p w14:paraId="4D38C31C" w14:textId="245F0F69" w:rsidR="00210E66" w:rsidRPr="004F1ECA" w:rsidRDefault="00100EF0" w:rsidP="00BE4B87">
            <w:pPr>
              <w:pStyle w:val="Bullet1"/>
            </w:pPr>
            <w:r w:rsidRPr="004F1ECA">
              <w:t>Review and discuss the notice of articles and articles (or proposed notice of articles and articles), including matters such as:</w:t>
            </w:r>
          </w:p>
        </w:tc>
        <w:tc>
          <w:tcPr>
            <w:tcW w:w="900" w:type="dxa"/>
            <w:vAlign w:val="center"/>
          </w:tcPr>
          <w:p w14:paraId="530F1B86" w14:textId="22F427E5" w:rsidR="00210E66" w:rsidRDefault="004F1ECA" w:rsidP="00210E66">
            <w:pPr>
              <w:pStyle w:val="Bullet2"/>
              <w:ind w:left="0"/>
              <w:jc w:val="center"/>
            </w:pPr>
            <w:r w:rsidRPr="00437BB1">
              <w:rPr>
                <w:sz w:val="40"/>
                <w:szCs w:val="40"/>
              </w:rPr>
              <w:sym w:font="Wingdings 2" w:char="F0A3"/>
            </w:r>
          </w:p>
        </w:tc>
      </w:tr>
      <w:tr w:rsidR="00BE4B87" w:rsidRPr="006C189C" w14:paraId="5EFE37BE" w14:textId="77777777" w:rsidTr="003613B4">
        <w:tc>
          <w:tcPr>
            <w:tcW w:w="633" w:type="dxa"/>
          </w:tcPr>
          <w:p w14:paraId="4C02C2DD" w14:textId="77777777" w:rsidR="00BE4B87" w:rsidRPr="004F1ECA" w:rsidRDefault="00BE4B87" w:rsidP="003613B4">
            <w:pPr>
              <w:spacing w:before="80" w:after="80"/>
              <w:jc w:val="right"/>
              <w:rPr>
                <w:rFonts w:ascii="Times New Roman" w:hAnsi="Times New Roman" w:cs="Times New Roman"/>
              </w:rPr>
            </w:pPr>
          </w:p>
        </w:tc>
        <w:tc>
          <w:tcPr>
            <w:tcW w:w="7822" w:type="dxa"/>
            <w:vAlign w:val="center"/>
          </w:tcPr>
          <w:p w14:paraId="20FA6756" w14:textId="3BEC7E8B" w:rsidR="00BE4B87" w:rsidRPr="004F1ECA" w:rsidRDefault="00100EF0" w:rsidP="00100EF0">
            <w:pPr>
              <w:pStyle w:val="Bullet2"/>
              <w:ind w:hanging="319"/>
            </w:pPr>
            <w:r w:rsidRPr="004F1ECA">
              <w:t>.1</w:t>
            </w:r>
            <w:r w:rsidRPr="004F1ECA">
              <w:tab/>
              <w:t xml:space="preserve">The fact that, without a shareholders’ agreement, the company is managed pursuant to the </w:t>
            </w:r>
            <w:r w:rsidRPr="004F1ECA">
              <w:rPr>
                <w:rStyle w:val="ItalicsI1"/>
                <w:sz w:val="22"/>
              </w:rPr>
              <w:t>B</w:t>
            </w:r>
            <w:r w:rsidR="00171792">
              <w:rPr>
                <w:rStyle w:val="ItalicsI1"/>
                <w:sz w:val="22"/>
              </w:rPr>
              <w:t>u</w:t>
            </w:r>
            <w:r w:rsidR="00171792">
              <w:rPr>
                <w:rStyle w:val="ItalicsI1"/>
              </w:rPr>
              <w:t xml:space="preserve">siness </w:t>
            </w:r>
            <w:r w:rsidRPr="004F1ECA">
              <w:rPr>
                <w:rStyle w:val="ItalicsI1"/>
                <w:sz w:val="22"/>
              </w:rPr>
              <w:t>C</w:t>
            </w:r>
            <w:r w:rsidR="00171792">
              <w:rPr>
                <w:rStyle w:val="ItalicsI1"/>
                <w:sz w:val="22"/>
              </w:rPr>
              <w:t>o</w:t>
            </w:r>
            <w:r w:rsidR="00171792">
              <w:rPr>
                <w:rStyle w:val="ItalicsI1"/>
              </w:rPr>
              <w:t xml:space="preserve">rporations </w:t>
            </w:r>
            <w:r w:rsidRPr="004F1ECA">
              <w:rPr>
                <w:rStyle w:val="ItalicsI1"/>
                <w:sz w:val="22"/>
              </w:rPr>
              <w:t>A</w:t>
            </w:r>
            <w:r w:rsidR="00171792">
              <w:rPr>
                <w:rStyle w:val="ItalicsI1"/>
                <w:sz w:val="22"/>
              </w:rPr>
              <w:t>ct</w:t>
            </w:r>
            <w:r w:rsidR="00171792">
              <w:rPr>
                <w:rStyle w:val="ItalicsI1"/>
                <w:i w:val="0"/>
                <w:iCs/>
                <w:sz w:val="22"/>
              </w:rPr>
              <w:t>, S.B.C. 2002, c. 57 (the “</w:t>
            </w:r>
            <w:r w:rsidR="00171792" w:rsidRPr="008705C2">
              <w:rPr>
                <w:rStyle w:val="ItalicsI1"/>
                <w:sz w:val="22"/>
              </w:rPr>
              <w:t>BCA</w:t>
            </w:r>
            <w:r w:rsidR="00171792">
              <w:rPr>
                <w:rStyle w:val="ItalicsI1"/>
                <w:i w:val="0"/>
                <w:iCs/>
                <w:sz w:val="22"/>
              </w:rPr>
              <w:t>”)</w:t>
            </w:r>
            <w:r w:rsidRPr="004F1ECA">
              <w:t xml:space="preserve"> and the articles. Consider how this differs from what the client proposes.</w:t>
            </w:r>
          </w:p>
        </w:tc>
        <w:tc>
          <w:tcPr>
            <w:tcW w:w="900" w:type="dxa"/>
            <w:vAlign w:val="center"/>
          </w:tcPr>
          <w:p w14:paraId="415B19EC" w14:textId="77777777" w:rsidR="00BE4B87" w:rsidRDefault="00BE4B87" w:rsidP="00210E66">
            <w:pPr>
              <w:pStyle w:val="Bullet2"/>
              <w:ind w:left="0"/>
              <w:jc w:val="center"/>
            </w:pPr>
          </w:p>
        </w:tc>
      </w:tr>
      <w:tr w:rsidR="00BE4B87" w:rsidRPr="006C189C" w14:paraId="6FE809D7" w14:textId="77777777" w:rsidTr="003613B4">
        <w:tc>
          <w:tcPr>
            <w:tcW w:w="633" w:type="dxa"/>
          </w:tcPr>
          <w:p w14:paraId="6FF61720" w14:textId="77777777" w:rsidR="00BE4B87" w:rsidRPr="004F1ECA" w:rsidRDefault="00BE4B87" w:rsidP="003613B4">
            <w:pPr>
              <w:spacing w:before="80" w:after="80"/>
              <w:jc w:val="right"/>
              <w:rPr>
                <w:rFonts w:ascii="Times New Roman" w:hAnsi="Times New Roman" w:cs="Times New Roman"/>
              </w:rPr>
            </w:pPr>
          </w:p>
        </w:tc>
        <w:tc>
          <w:tcPr>
            <w:tcW w:w="7822" w:type="dxa"/>
            <w:vAlign w:val="center"/>
          </w:tcPr>
          <w:p w14:paraId="4EE2251A" w14:textId="3957B41E" w:rsidR="00BE4B87" w:rsidRPr="004F1ECA" w:rsidRDefault="00100EF0" w:rsidP="00100EF0">
            <w:pPr>
              <w:pStyle w:val="Bullet2"/>
              <w:ind w:hanging="319"/>
            </w:pPr>
            <w:r w:rsidRPr="004F1ECA">
              <w:t>.2</w:t>
            </w:r>
            <w:r w:rsidRPr="004F1ECA">
              <w:tab/>
              <w:t>Whether it is preferable to include certain provisions in the articles or in the shareholders’ agreement, bearing in mind such considerations as:</w:t>
            </w:r>
          </w:p>
        </w:tc>
        <w:tc>
          <w:tcPr>
            <w:tcW w:w="900" w:type="dxa"/>
            <w:vAlign w:val="center"/>
          </w:tcPr>
          <w:p w14:paraId="54B647A9" w14:textId="77777777" w:rsidR="00BE4B87" w:rsidRDefault="00BE4B87" w:rsidP="00210E66">
            <w:pPr>
              <w:pStyle w:val="Bullet2"/>
              <w:ind w:left="0"/>
              <w:jc w:val="center"/>
            </w:pPr>
          </w:p>
        </w:tc>
      </w:tr>
      <w:tr w:rsidR="00BE4B87" w:rsidRPr="006C189C" w14:paraId="075C0E2B" w14:textId="77777777" w:rsidTr="003613B4">
        <w:tc>
          <w:tcPr>
            <w:tcW w:w="633" w:type="dxa"/>
          </w:tcPr>
          <w:p w14:paraId="1B02394A" w14:textId="77777777" w:rsidR="00BE4B87" w:rsidRPr="004F1ECA" w:rsidRDefault="00BE4B87" w:rsidP="003613B4">
            <w:pPr>
              <w:spacing w:before="80" w:after="80"/>
              <w:jc w:val="right"/>
              <w:rPr>
                <w:rFonts w:ascii="Times New Roman" w:hAnsi="Times New Roman" w:cs="Times New Roman"/>
              </w:rPr>
            </w:pPr>
          </w:p>
        </w:tc>
        <w:tc>
          <w:tcPr>
            <w:tcW w:w="7822" w:type="dxa"/>
            <w:vAlign w:val="center"/>
          </w:tcPr>
          <w:p w14:paraId="3F5C8FC5" w14:textId="6F39D4CA" w:rsidR="00BE4B87" w:rsidRPr="004F1ECA" w:rsidRDefault="00100EF0" w:rsidP="00100EF0">
            <w:pPr>
              <w:pStyle w:val="Bullet3"/>
              <w:ind w:left="689" w:hanging="360"/>
            </w:pPr>
            <w:r w:rsidRPr="004F1ECA">
              <w:t>(a)</w:t>
            </w:r>
            <w:r w:rsidRPr="004F1ECA">
              <w:tab/>
              <w:t xml:space="preserve">Amendment procedures in each case. For example, the </w:t>
            </w:r>
            <w:r w:rsidRPr="004F1ECA">
              <w:rPr>
                <w:rStyle w:val="ItalicsI1"/>
                <w:sz w:val="22"/>
              </w:rPr>
              <w:t>BCA</w:t>
            </w:r>
            <w:r w:rsidRPr="004F1ECA">
              <w:t xml:space="preserve"> may provide a minimum level of shareholder approval for certain matters, which could be increased to unanimous approval in a shareholders’ agreement or possibly the articles.</w:t>
            </w:r>
          </w:p>
        </w:tc>
        <w:tc>
          <w:tcPr>
            <w:tcW w:w="900" w:type="dxa"/>
            <w:vAlign w:val="center"/>
          </w:tcPr>
          <w:p w14:paraId="5D0441C5" w14:textId="77777777" w:rsidR="00BE4B87" w:rsidRDefault="00BE4B87" w:rsidP="00210E66">
            <w:pPr>
              <w:pStyle w:val="Bullet2"/>
              <w:ind w:left="0"/>
              <w:jc w:val="center"/>
            </w:pPr>
          </w:p>
        </w:tc>
      </w:tr>
      <w:tr w:rsidR="00BE4B87" w:rsidRPr="006C189C" w14:paraId="41710FA7" w14:textId="77777777" w:rsidTr="003613B4">
        <w:tc>
          <w:tcPr>
            <w:tcW w:w="633" w:type="dxa"/>
          </w:tcPr>
          <w:p w14:paraId="48E859DF" w14:textId="77777777" w:rsidR="00BE4B87" w:rsidRPr="004F1ECA" w:rsidRDefault="00BE4B87" w:rsidP="003613B4">
            <w:pPr>
              <w:spacing w:before="80" w:after="80"/>
              <w:jc w:val="right"/>
              <w:rPr>
                <w:rFonts w:ascii="Times New Roman" w:hAnsi="Times New Roman" w:cs="Times New Roman"/>
              </w:rPr>
            </w:pPr>
          </w:p>
        </w:tc>
        <w:tc>
          <w:tcPr>
            <w:tcW w:w="7822" w:type="dxa"/>
            <w:vAlign w:val="center"/>
          </w:tcPr>
          <w:p w14:paraId="14CCA5C4" w14:textId="1AD36E08" w:rsidR="00BE4B87" w:rsidRPr="004F1ECA" w:rsidRDefault="00100EF0" w:rsidP="00100EF0">
            <w:pPr>
              <w:pStyle w:val="Bullet3"/>
              <w:ind w:left="689" w:hanging="360"/>
            </w:pPr>
            <w:r w:rsidRPr="004F1ECA">
              <w:t>(b)</w:t>
            </w:r>
            <w:r w:rsidRPr="004F1ECA">
              <w:tab/>
              <w:t xml:space="preserve">The effect of the provision in </w:t>
            </w:r>
            <w:r w:rsidRPr="004F1ECA">
              <w:rPr>
                <w:rStyle w:val="ItalicsI1"/>
                <w:sz w:val="22"/>
              </w:rPr>
              <w:t>BCA</w:t>
            </w:r>
            <w:r w:rsidRPr="004F1ECA">
              <w:t>, s. 136, that directors are obliged to manage, subject to the articles (i.e., if it is proposed that the directors’ powers be transferred pursuant to s. 137, this must be done in the articles).</w:t>
            </w:r>
          </w:p>
        </w:tc>
        <w:tc>
          <w:tcPr>
            <w:tcW w:w="900" w:type="dxa"/>
            <w:vAlign w:val="center"/>
          </w:tcPr>
          <w:p w14:paraId="0A001D4F" w14:textId="77777777" w:rsidR="00BE4B87" w:rsidRDefault="00BE4B87" w:rsidP="00210E66">
            <w:pPr>
              <w:pStyle w:val="Bullet2"/>
              <w:ind w:left="0"/>
              <w:jc w:val="center"/>
            </w:pPr>
          </w:p>
        </w:tc>
      </w:tr>
      <w:tr w:rsidR="00BE4B87" w:rsidRPr="006C189C" w14:paraId="20C0E3B7" w14:textId="77777777" w:rsidTr="003613B4">
        <w:tc>
          <w:tcPr>
            <w:tcW w:w="633" w:type="dxa"/>
          </w:tcPr>
          <w:p w14:paraId="08F48719" w14:textId="77777777" w:rsidR="00BE4B87" w:rsidRPr="00D960B3" w:rsidRDefault="00BE4B87" w:rsidP="003613B4">
            <w:pPr>
              <w:spacing w:before="80" w:after="80"/>
              <w:jc w:val="right"/>
              <w:rPr>
                <w:rFonts w:ascii="Times New Roman" w:hAnsi="Times New Roman" w:cs="Times New Roman"/>
              </w:rPr>
            </w:pPr>
          </w:p>
        </w:tc>
        <w:tc>
          <w:tcPr>
            <w:tcW w:w="7822" w:type="dxa"/>
            <w:vAlign w:val="center"/>
          </w:tcPr>
          <w:p w14:paraId="27EF7910" w14:textId="567B4965" w:rsidR="00BE4B87" w:rsidRPr="004F1ECA" w:rsidRDefault="00100EF0" w:rsidP="00100EF0">
            <w:pPr>
              <w:pStyle w:val="Bullet2"/>
              <w:ind w:hanging="319"/>
            </w:pPr>
            <w:r w:rsidRPr="004F1ECA">
              <w:t>.3</w:t>
            </w:r>
            <w:r w:rsidRPr="004F1ECA">
              <w:tab/>
              <w:t xml:space="preserve">Whether the articles raise any problems with respect to provisions that might be included in the shareholders’ agreement. For example, a pre-existing company is subject to restrictions on the allotment and purchase or redemption of shares, unless it has amended its articles to remove the pre-existing company provisions. Also, the pre-existing company provisions specify that a special resolution requires a 3/4 majority of those entitled to vote. Such restrictions do not apply to a company incorporated under the </w:t>
            </w:r>
            <w:r w:rsidRPr="004F1ECA">
              <w:rPr>
                <w:rStyle w:val="ItalicsI1"/>
                <w:sz w:val="22"/>
              </w:rPr>
              <w:t>BCA</w:t>
            </w:r>
            <w:r w:rsidRPr="004F1ECA">
              <w:t>, so it may be desirable to add this to a shareholders’ agreement. In addition, there are a number of provisions that must be in the articles to be effective (e.g., if it is proposed that the company buy back or redeem its own shares, ensure that it has authority under its articles to do so, and specify whether it must be done on a pro rata basis).</w:t>
            </w:r>
          </w:p>
        </w:tc>
        <w:tc>
          <w:tcPr>
            <w:tcW w:w="900" w:type="dxa"/>
            <w:vAlign w:val="center"/>
          </w:tcPr>
          <w:p w14:paraId="29043062" w14:textId="77777777" w:rsidR="00BE4B87" w:rsidRDefault="00BE4B87" w:rsidP="00210E66">
            <w:pPr>
              <w:pStyle w:val="Bullet2"/>
              <w:ind w:left="0"/>
              <w:jc w:val="center"/>
            </w:pPr>
          </w:p>
        </w:tc>
      </w:tr>
      <w:tr w:rsidR="00BE4B87" w:rsidRPr="006C189C" w14:paraId="607C9EF9" w14:textId="77777777" w:rsidTr="003613B4">
        <w:tc>
          <w:tcPr>
            <w:tcW w:w="633" w:type="dxa"/>
          </w:tcPr>
          <w:p w14:paraId="7EA871F1" w14:textId="746C5CF4" w:rsidR="00BE4B87" w:rsidRPr="00D960B3" w:rsidRDefault="00100EF0" w:rsidP="003613B4">
            <w:pPr>
              <w:spacing w:before="80" w:after="80"/>
              <w:jc w:val="right"/>
              <w:rPr>
                <w:rFonts w:ascii="Times New Roman" w:hAnsi="Times New Roman" w:cs="Times New Roman"/>
              </w:rPr>
            </w:pPr>
            <w:r>
              <w:rPr>
                <w:rFonts w:ascii="Times New Roman" w:hAnsi="Times New Roman" w:cs="Times New Roman"/>
              </w:rPr>
              <w:t>2.5</w:t>
            </w:r>
          </w:p>
        </w:tc>
        <w:tc>
          <w:tcPr>
            <w:tcW w:w="7822" w:type="dxa"/>
            <w:vAlign w:val="center"/>
          </w:tcPr>
          <w:p w14:paraId="1F2813C1" w14:textId="7C370262" w:rsidR="00BE4B87" w:rsidRPr="004F1ECA" w:rsidRDefault="00100EF0" w:rsidP="00BE4B87">
            <w:pPr>
              <w:pStyle w:val="Bullet1"/>
            </w:pPr>
            <w:r w:rsidRPr="004F1ECA">
              <w:t>If you are representing a minority shareholder, ensure that they are protected as much as is consistent with the interests of the parties and efficient management (and vice versa with respect to a majority shareholder).</w:t>
            </w:r>
          </w:p>
        </w:tc>
        <w:tc>
          <w:tcPr>
            <w:tcW w:w="900" w:type="dxa"/>
            <w:vAlign w:val="center"/>
          </w:tcPr>
          <w:p w14:paraId="5F8A877D" w14:textId="0BAB4241" w:rsidR="00BE4B87" w:rsidRDefault="004F1ECA" w:rsidP="00210E66">
            <w:pPr>
              <w:pStyle w:val="Bullet2"/>
              <w:ind w:left="0"/>
              <w:jc w:val="center"/>
            </w:pPr>
            <w:r w:rsidRPr="00437BB1">
              <w:rPr>
                <w:sz w:val="40"/>
                <w:szCs w:val="40"/>
              </w:rPr>
              <w:sym w:font="Wingdings 2" w:char="F0A3"/>
            </w:r>
          </w:p>
        </w:tc>
      </w:tr>
    </w:tbl>
    <w:p w14:paraId="1F6014DB" w14:textId="77777777" w:rsidR="00854776" w:rsidRDefault="00854776">
      <w:r>
        <w:br w:type="page"/>
      </w:r>
    </w:p>
    <w:tbl>
      <w:tblPr>
        <w:tblStyle w:val="TableGrid"/>
        <w:tblW w:w="9355" w:type="dxa"/>
        <w:tblLook w:val="04A0" w:firstRow="1" w:lastRow="0" w:firstColumn="1" w:lastColumn="0" w:noHBand="0" w:noVBand="1"/>
      </w:tblPr>
      <w:tblGrid>
        <w:gridCol w:w="633"/>
        <w:gridCol w:w="7822"/>
        <w:gridCol w:w="900"/>
      </w:tblGrid>
      <w:tr w:rsidR="00210E66" w:rsidRPr="006C189C" w14:paraId="4A51879A" w14:textId="059FC6AA" w:rsidTr="00100EF0">
        <w:tc>
          <w:tcPr>
            <w:tcW w:w="633" w:type="dxa"/>
          </w:tcPr>
          <w:p w14:paraId="7ED3B8A8" w14:textId="336AB2F4" w:rsidR="00210E66" w:rsidRPr="006C189C" w:rsidRDefault="00100EF0" w:rsidP="00100EF0">
            <w:pPr>
              <w:tabs>
                <w:tab w:val="left" w:pos="238"/>
              </w:tabs>
              <w:spacing w:before="80" w:after="80"/>
              <w:jc w:val="right"/>
              <w:rPr>
                <w:rFonts w:ascii="Times New Roman" w:hAnsi="Times New Roman" w:cs="Times New Roman"/>
              </w:rPr>
            </w:pPr>
            <w:r>
              <w:rPr>
                <w:rFonts w:ascii="Times New Roman" w:hAnsi="Times New Roman" w:cs="Times New Roman"/>
              </w:rPr>
              <w:lastRenderedPageBreak/>
              <w:t>2.6</w:t>
            </w:r>
          </w:p>
        </w:tc>
        <w:tc>
          <w:tcPr>
            <w:tcW w:w="7822" w:type="dxa"/>
            <w:vAlign w:val="center"/>
          </w:tcPr>
          <w:p w14:paraId="1B5FEE9C" w14:textId="1A0D3080" w:rsidR="00210E66" w:rsidRPr="004F1ECA" w:rsidRDefault="00100EF0" w:rsidP="00BE4B87">
            <w:pPr>
              <w:pStyle w:val="Bullet1"/>
            </w:pPr>
            <w:r w:rsidRPr="004F1ECA">
              <w:t xml:space="preserve">Discuss in detail the proposed agreement, referring to the clauses set out in the </w:t>
            </w:r>
            <w:r w:rsidRPr="004F1ECA">
              <w:rPr>
                <w:smallCaps/>
              </w:rPr>
              <w:t>shareholders’ agreement drafting (B-7)</w:t>
            </w:r>
            <w:r w:rsidRPr="004F1ECA">
              <w:t xml:space="preserve"> checklist. Include points such as:</w:t>
            </w:r>
          </w:p>
        </w:tc>
        <w:tc>
          <w:tcPr>
            <w:tcW w:w="900" w:type="dxa"/>
            <w:vAlign w:val="center"/>
          </w:tcPr>
          <w:p w14:paraId="5D951936" w14:textId="441964B8" w:rsidR="00210E66" w:rsidRDefault="004F1ECA" w:rsidP="00210E66">
            <w:pPr>
              <w:pStyle w:val="Bullet3"/>
              <w:ind w:left="0"/>
              <w:jc w:val="center"/>
            </w:pPr>
            <w:r w:rsidRPr="00437BB1">
              <w:rPr>
                <w:sz w:val="40"/>
                <w:szCs w:val="40"/>
              </w:rPr>
              <w:sym w:font="Wingdings 2" w:char="F0A3"/>
            </w:r>
          </w:p>
        </w:tc>
      </w:tr>
      <w:tr w:rsidR="00100EF0" w:rsidRPr="006C189C" w14:paraId="6F993177" w14:textId="77777777" w:rsidTr="003613B4">
        <w:tc>
          <w:tcPr>
            <w:tcW w:w="633" w:type="dxa"/>
          </w:tcPr>
          <w:p w14:paraId="5D3BC73E"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595782D8" w14:textId="4190F5AD" w:rsidR="00100EF0" w:rsidRPr="004F1ECA" w:rsidRDefault="00100EF0" w:rsidP="00100EF0">
            <w:pPr>
              <w:pStyle w:val="Bullet2"/>
              <w:ind w:hanging="319"/>
            </w:pPr>
            <w:r w:rsidRPr="004F1ECA">
              <w:t>.1</w:t>
            </w:r>
            <w:r w:rsidRPr="004F1ECA">
              <w:tab/>
              <w:t>Management of the company and the role of the shareholders:</w:t>
            </w:r>
          </w:p>
        </w:tc>
        <w:tc>
          <w:tcPr>
            <w:tcW w:w="900" w:type="dxa"/>
            <w:vAlign w:val="center"/>
          </w:tcPr>
          <w:p w14:paraId="0D4372D6" w14:textId="77777777" w:rsidR="00100EF0" w:rsidRDefault="00100EF0" w:rsidP="00210E66">
            <w:pPr>
              <w:pStyle w:val="Bullet3"/>
              <w:ind w:left="0"/>
              <w:jc w:val="center"/>
            </w:pPr>
          </w:p>
        </w:tc>
      </w:tr>
      <w:tr w:rsidR="00100EF0" w:rsidRPr="006C189C" w14:paraId="26E998C5" w14:textId="77777777" w:rsidTr="003613B4">
        <w:tc>
          <w:tcPr>
            <w:tcW w:w="633" w:type="dxa"/>
          </w:tcPr>
          <w:p w14:paraId="683CA07C"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78E5A30A" w14:textId="1562704C" w:rsidR="00100EF0" w:rsidRPr="004F1ECA" w:rsidRDefault="00100EF0" w:rsidP="00100EF0">
            <w:pPr>
              <w:pStyle w:val="Bullet3"/>
              <w:ind w:left="689" w:hanging="360"/>
            </w:pPr>
            <w:r w:rsidRPr="004F1ECA">
              <w:t>(a)</w:t>
            </w:r>
            <w:r w:rsidRPr="004F1ECA">
              <w:tab/>
              <w:t xml:space="preserve">In general, who are the directors and employees, who has banking authority, who is responsible for day-to-day management, and how are major decisions made under the </w:t>
            </w:r>
            <w:r w:rsidRPr="004F1ECA">
              <w:rPr>
                <w:rStyle w:val="ItalicsI1"/>
                <w:sz w:val="22"/>
              </w:rPr>
              <w:t>BCA</w:t>
            </w:r>
            <w:r w:rsidRPr="004F1ECA">
              <w:t>?</w:t>
            </w:r>
          </w:p>
        </w:tc>
        <w:tc>
          <w:tcPr>
            <w:tcW w:w="900" w:type="dxa"/>
            <w:vAlign w:val="center"/>
          </w:tcPr>
          <w:p w14:paraId="1CACA95A" w14:textId="77777777" w:rsidR="00100EF0" w:rsidRDefault="00100EF0" w:rsidP="00210E66">
            <w:pPr>
              <w:pStyle w:val="Bullet3"/>
              <w:ind w:left="0"/>
              <w:jc w:val="center"/>
            </w:pPr>
          </w:p>
        </w:tc>
      </w:tr>
      <w:tr w:rsidR="00100EF0" w:rsidRPr="006C189C" w14:paraId="55182A11" w14:textId="77777777" w:rsidTr="003613B4">
        <w:tc>
          <w:tcPr>
            <w:tcW w:w="633" w:type="dxa"/>
          </w:tcPr>
          <w:p w14:paraId="79B42D54"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103BEA40" w14:textId="039FB164" w:rsidR="00100EF0" w:rsidRPr="004F1ECA" w:rsidRDefault="00100EF0" w:rsidP="00100EF0">
            <w:pPr>
              <w:pStyle w:val="Bullet3"/>
              <w:ind w:left="689" w:hanging="360"/>
            </w:pPr>
            <w:r w:rsidRPr="004F1ECA">
              <w:t>(b)</w:t>
            </w:r>
            <w:r w:rsidRPr="004F1ECA">
              <w:tab/>
              <w:t>If there is a corporate shareholder, how will it be represented, and what will be the effect of various circumstances such as the death of the representative or a change of corporate control?</w:t>
            </w:r>
          </w:p>
        </w:tc>
        <w:tc>
          <w:tcPr>
            <w:tcW w:w="900" w:type="dxa"/>
            <w:vAlign w:val="center"/>
          </w:tcPr>
          <w:p w14:paraId="6596611B" w14:textId="77777777" w:rsidR="00100EF0" w:rsidRDefault="00100EF0" w:rsidP="00210E66">
            <w:pPr>
              <w:pStyle w:val="Bullet3"/>
              <w:ind w:left="0"/>
              <w:jc w:val="center"/>
            </w:pPr>
          </w:p>
        </w:tc>
      </w:tr>
      <w:tr w:rsidR="00100EF0" w:rsidRPr="006C189C" w14:paraId="1438F232" w14:textId="77777777" w:rsidTr="003613B4">
        <w:tc>
          <w:tcPr>
            <w:tcW w:w="633" w:type="dxa"/>
          </w:tcPr>
          <w:p w14:paraId="16ECABC1"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1085D093" w14:textId="54882603" w:rsidR="00100EF0" w:rsidRPr="004F1ECA" w:rsidRDefault="00100EF0" w:rsidP="00100EF0">
            <w:pPr>
              <w:pStyle w:val="Bullet3"/>
              <w:ind w:left="689" w:hanging="360"/>
            </w:pPr>
            <w:r w:rsidRPr="004F1ECA">
              <w:t>(c)</w:t>
            </w:r>
            <w:r w:rsidRPr="004F1ECA">
              <w:tab/>
              <w:t>Will all shareholders be and remain actively involved in management? If your client is not going to be actively involved, advise your client to keep informed of financial affairs. Consider the desirability of your client being a signing officer for banking purposes or the inclusion of certain reporting requirements and audit rights.</w:t>
            </w:r>
          </w:p>
        </w:tc>
        <w:tc>
          <w:tcPr>
            <w:tcW w:w="900" w:type="dxa"/>
            <w:vAlign w:val="center"/>
          </w:tcPr>
          <w:p w14:paraId="789F597C" w14:textId="77777777" w:rsidR="00100EF0" w:rsidRDefault="00100EF0" w:rsidP="00210E66">
            <w:pPr>
              <w:pStyle w:val="Bullet3"/>
              <w:ind w:left="0"/>
              <w:jc w:val="center"/>
            </w:pPr>
          </w:p>
        </w:tc>
      </w:tr>
      <w:tr w:rsidR="00100EF0" w:rsidRPr="006C189C" w14:paraId="02777EAA" w14:textId="77777777" w:rsidTr="003613B4">
        <w:tc>
          <w:tcPr>
            <w:tcW w:w="633" w:type="dxa"/>
          </w:tcPr>
          <w:p w14:paraId="32F0CA44"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5A8C5DB4" w14:textId="07AB8668" w:rsidR="00100EF0" w:rsidRPr="004F1ECA" w:rsidRDefault="00100EF0" w:rsidP="00100EF0">
            <w:pPr>
              <w:pStyle w:val="Bullet3"/>
              <w:ind w:left="689" w:hanging="360"/>
            </w:pPr>
            <w:r w:rsidRPr="004F1ECA">
              <w:t>(d)</w:t>
            </w:r>
            <w:r w:rsidRPr="004F1ECA">
              <w:tab/>
              <w:t>Will your client be an officer or director? If so, advise regarding duties and potential liability. The potential liability of directors is an evolving area of law and care should be taken to ensure your client is made aware of their duties. Consider whether the company will obtain directors’ and officers’ liability insurance.</w:t>
            </w:r>
          </w:p>
        </w:tc>
        <w:tc>
          <w:tcPr>
            <w:tcW w:w="900" w:type="dxa"/>
            <w:vAlign w:val="center"/>
          </w:tcPr>
          <w:p w14:paraId="55F3BBC6" w14:textId="77777777" w:rsidR="00100EF0" w:rsidRDefault="00100EF0" w:rsidP="00210E66">
            <w:pPr>
              <w:pStyle w:val="Bullet3"/>
              <w:ind w:left="0"/>
              <w:jc w:val="center"/>
            </w:pPr>
          </w:p>
        </w:tc>
      </w:tr>
      <w:tr w:rsidR="00100EF0" w:rsidRPr="006C189C" w14:paraId="013CFCB4" w14:textId="77777777" w:rsidTr="003613B4">
        <w:tc>
          <w:tcPr>
            <w:tcW w:w="633" w:type="dxa"/>
          </w:tcPr>
          <w:p w14:paraId="15576B8A"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55C53777" w14:textId="654BF7F7" w:rsidR="00100EF0" w:rsidRPr="004F1ECA" w:rsidRDefault="00100EF0" w:rsidP="00100EF0">
            <w:pPr>
              <w:pStyle w:val="Bullet3"/>
              <w:ind w:left="689" w:hanging="360"/>
            </w:pPr>
            <w:r w:rsidRPr="004F1ECA">
              <w:t>(e)</w:t>
            </w:r>
            <w:r w:rsidRPr="004F1ECA">
              <w:tab/>
              <w:t>Will your client be an employee of the company? If so, consider the need for a separate employment contract (possibly tied to the shareholders’ agreement) or for employment clauses in the agreement.</w:t>
            </w:r>
          </w:p>
        </w:tc>
        <w:tc>
          <w:tcPr>
            <w:tcW w:w="900" w:type="dxa"/>
            <w:vAlign w:val="center"/>
          </w:tcPr>
          <w:p w14:paraId="09EDC220" w14:textId="77777777" w:rsidR="00100EF0" w:rsidRDefault="00100EF0" w:rsidP="00210E66">
            <w:pPr>
              <w:pStyle w:val="Bullet3"/>
              <w:ind w:left="0"/>
              <w:jc w:val="center"/>
            </w:pPr>
          </w:p>
        </w:tc>
      </w:tr>
      <w:tr w:rsidR="00100EF0" w:rsidRPr="006C189C" w14:paraId="468B09E3" w14:textId="77777777" w:rsidTr="003613B4">
        <w:tc>
          <w:tcPr>
            <w:tcW w:w="633" w:type="dxa"/>
          </w:tcPr>
          <w:p w14:paraId="0B76C0C0"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65CD43DD" w14:textId="54FB0D8F" w:rsidR="00100EF0" w:rsidRPr="004F1ECA" w:rsidRDefault="00100EF0" w:rsidP="00100EF0">
            <w:pPr>
              <w:pStyle w:val="Bullet3"/>
              <w:ind w:left="689" w:hanging="360"/>
            </w:pPr>
            <w:r w:rsidRPr="004F1ECA">
              <w:t>(f)</w:t>
            </w:r>
            <w:r w:rsidRPr="004F1ECA">
              <w:tab/>
              <w:t xml:space="preserve">Consider s. 137 of the </w:t>
            </w:r>
            <w:r w:rsidRPr="004F1ECA">
              <w:rPr>
                <w:rStyle w:val="ItalicsI1"/>
                <w:sz w:val="22"/>
              </w:rPr>
              <w:t>BCA</w:t>
            </w:r>
            <w:r w:rsidRPr="004F1ECA">
              <w:t>, which permits the articles to transfer the directors’ powers to manage to one or more persons. Consider incorporating provisions in the articles transferring power to manage to shareholders, then deal with management in the shareholders’ agreement.</w:t>
            </w:r>
          </w:p>
        </w:tc>
        <w:tc>
          <w:tcPr>
            <w:tcW w:w="900" w:type="dxa"/>
            <w:vAlign w:val="center"/>
          </w:tcPr>
          <w:p w14:paraId="0EB16562" w14:textId="77777777" w:rsidR="00100EF0" w:rsidRDefault="00100EF0" w:rsidP="00210E66">
            <w:pPr>
              <w:pStyle w:val="Bullet3"/>
              <w:ind w:left="0"/>
              <w:jc w:val="center"/>
            </w:pPr>
          </w:p>
        </w:tc>
      </w:tr>
      <w:tr w:rsidR="00210E66" w:rsidRPr="006C189C" w14:paraId="32E1F773" w14:textId="3BF501F6" w:rsidTr="003613B4">
        <w:tc>
          <w:tcPr>
            <w:tcW w:w="633" w:type="dxa"/>
          </w:tcPr>
          <w:p w14:paraId="34CBE9E0"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0DD8026E" w14:textId="1856CBFF" w:rsidR="00210E66" w:rsidRPr="004F1ECA" w:rsidRDefault="00100EF0" w:rsidP="00100EF0">
            <w:pPr>
              <w:pStyle w:val="Bullet3"/>
              <w:ind w:left="689" w:hanging="360"/>
            </w:pPr>
            <w:r w:rsidRPr="004F1ECA">
              <w:t>(g)</w:t>
            </w:r>
            <w:r w:rsidRPr="004F1ECA">
              <w:tab/>
              <w:t xml:space="preserve">Consider how to balance the need for protecting minority rights against the discretion of the directors to manage. Consider how to avoid deadlocks, and whether to increase the minimum level of shareholder approval, if any, required under the </w:t>
            </w:r>
            <w:r w:rsidRPr="004F1ECA">
              <w:rPr>
                <w:rStyle w:val="ItalicsI1"/>
                <w:sz w:val="22"/>
              </w:rPr>
              <w:t>BCA</w:t>
            </w:r>
            <w:r w:rsidRPr="004F1ECA">
              <w:t xml:space="preserve"> for decisions on certain matters.</w:t>
            </w:r>
          </w:p>
        </w:tc>
        <w:tc>
          <w:tcPr>
            <w:tcW w:w="900" w:type="dxa"/>
            <w:vAlign w:val="center"/>
          </w:tcPr>
          <w:p w14:paraId="41590FEF" w14:textId="77777777" w:rsidR="00210E66" w:rsidRDefault="00210E66" w:rsidP="00210E66">
            <w:pPr>
              <w:pStyle w:val="Bullet4"/>
              <w:ind w:left="0"/>
              <w:jc w:val="center"/>
            </w:pPr>
          </w:p>
        </w:tc>
      </w:tr>
      <w:tr w:rsidR="00100EF0" w:rsidRPr="006C189C" w14:paraId="07B205EA" w14:textId="77777777" w:rsidTr="003613B4">
        <w:tc>
          <w:tcPr>
            <w:tcW w:w="633" w:type="dxa"/>
          </w:tcPr>
          <w:p w14:paraId="1CC98096"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7956C1AC" w14:textId="7D670649" w:rsidR="00100EF0" w:rsidRPr="004F1ECA" w:rsidRDefault="00100EF0" w:rsidP="00D96B3B">
            <w:pPr>
              <w:pStyle w:val="Bullet2"/>
              <w:ind w:hanging="319"/>
            </w:pPr>
            <w:r w:rsidRPr="004F1ECA">
              <w:t>.2</w:t>
            </w:r>
            <w:r w:rsidRPr="004F1ECA">
              <w:tab/>
              <w:t>Financing:</w:t>
            </w:r>
          </w:p>
        </w:tc>
        <w:tc>
          <w:tcPr>
            <w:tcW w:w="900" w:type="dxa"/>
            <w:vAlign w:val="center"/>
          </w:tcPr>
          <w:p w14:paraId="1050D2C2" w14:textId="77777777" w:rsidR="00100EF0" w:rsidRDefault="00100EF0" w:rsidP="00210E66">
            <w:pPr>
              <w:pStyle w:val="Bullet4"/>
              <w:ind w:left="0"/>
              <w:jc w:val="center"/>
            </w:pPr>
          </w:p>
        </w:tc>
      </w:tr>
      <w:tr w:rsidR="00100EF0" w:rsidRPr="006C189C" w14:paraId="208C8E7D" w14:textId="77777777" w:rsidTr="003613B4">
        <w:tc>
          <w:tcPr>
            <w:tcW w:w="633" w:type="dxa"/>
          </w:tcPr>
          <w:p w14:paraId="6D6DC574"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273CE482" w14:textId="656273A4" w:rsidR="00100EF0" w:rsidRPr="004F1ECA" w:rsidRDefault="00100EF0" w:rsidP="00100EF0">
            <w:pPr>
              <w:pStyle w:val="Bullet3"/>
              <w:ind w:left="689" w:hanging="360"/>
            </w:pPr>
            <w:r w:rsidRPr="004F1ECA">
              <w:t>(a)</w:t>
            </w:r>
            <w:r w:rsidRPr="004F1ECA">
              <w:tab/>
              <w:t>In general, consider how much money is needed for the proposed venture; for what purposes is it to be spent (on what, how much, when); how the company is going to be financed; what the composition of the share capital will be; if shareholders put money or other assets or contributions into the company by share subscription or by way of loan, and on what terms (including any security), will shareholders be required to make contributions in certain circumstances (e.g., majority decision of directors, or a major decision of shareholders requiring a specified majority); how shareholders will have their investment returned.</w:t>
            </w:r>
          </w:p>
        </w:tc>
        <w:tc>
          <w:tcPr>
            <w:tcW w:w="900" w:type="dxa"/>
            <w:vAlign w:val="center"/>
          </w:tcPr>
          <w:p w14:paraId="66172252" w14:textId="77777777" w:rsidR="00100EF0" w:rsidRDefault="00100EF0" w:rsidP="00210E66">
            <w:pPr>
              <w:pStyle w:val="Bullet4"/>
              <w:ind w:left="0"/>
              <w:jc w:val="center"/>
            </w:pPr>
          </w:p>
        </w:tc>
      </w:tr>
      <w:tr w:rsidR="00100EF0" w:rsidRPr="006C189C" w14:paraId="7282264F" w14:textId="77777777" w:rsidTr="003613B4">
        <w:tc>
          <w:tcPr>
            <w:tcW w:w="633" w:type="dxa"/>
          </w:tcPr>
          <w:p w14:paraId="298FF02A"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11FD4D02" w14:textId="4E8943B7" w:rsidR="00100EF0" w:rsidRPr="004F1ECA" w:rsidRDefault="00100EF0" w:rsidP="00D96B3B">
            <w:pPr>
              <w:pStyle w:val="Bullet3"/>
              <w:ind w:left="689" w:hanging="360"/>
            </w:pPr>
            <w:r w:rsidRPr="004F1ECA">
              <w:t>(b)</w:t>
            </w:r>
            <w:r w:rsidRPr="004F1ECA">
              <w:tab/>
              <w:t>If the client has not already done so, advise the client to discuss financing issues with a financial advisor (e.g., the prospective accountant/auditor).</w:t>
            </w:r>
          </w:p>
        </w:tc>
        <w:tc>
          <w:tcPr>
            <w:tcW w:w="900" w:type="dxa"/>
            <w:vAlign w:val="center"/>
          </w:tcPr>
          <w:p w14:paraId="3D7FFFB9" w14:textId="77777777" w:rsidR="00100EF0" w:rsidRDefault="00100EF0" w:rsidP="00210E66">
            <w:pPr>
              <w:pStyle w:val="Bullet4"/>
              <w:ind w:left="0"/>
              <w:jc w:val="center"/>
            </w:pPr>
          </w:p>
        </w:tc>
      </w:tr>
      <w:tr w:rsidR="00100EF0" w:rsidRPr="006C189C" w14:paraId="7F99CB4B" w14:textId="77777777" w:rsidTr="003613B4">
        <w:tc>
          <w:tcPr>
            <w:tcW w:w="633" w:type="dxa"/>
          </w:tcPr>
          <w:p w14:paraId="79DD76C0"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4021AC32" w14:textId="45218AE0" w:rsidR="00100EF0" w:rsidRPr="004F1ECA" w:rsidRDefault="00100EF0" w:rsidP="00D96B3B">
            <w:pPr>
              <w:pStyle w:val="Bullet3"/>
              <w:ind w:left="689" w:hanging="360"/>
            </w:pPr>
            <w:r w:rsidRPr="004F1ECA">
              <w:t>(c)</w:t>
            </w:r>
            <w:r w:rsidRPr="004F1ECA">
              <w:tab/>
              <w:t xml:space="preserve">Consider advising your client to meet with the other parties and draw up a </w:t>
            </w:r>
            <w:r w:rsidRPr="004F1ECA">
              <w:rPr>
                <w:rStyle w:val="ItalicsI1"/>
                <w:iCs/>
                <w:sz w:val="22"/>
              </w:rPr>
              <w:t>pro forma</w:t>
            </w:r>
            <w:r w:rsidRPr="004F1ECA">
              <w:t xml:space="preserve"> budget. This might be attached to the shareholders’ agreement as a statement of intention.</w:t>
            </w:r>
          </w:p>
        </w:tc>
        <w:tc>
          <w:tcPr>
            <w:tcW w:w="900" w:type="dxa"/>
            <w:vAlign w:val="center"/>
          </w:tcPr>
          <w:p w14:paraId="66D7CB29" w14:textId="77777777" w:rsidR="00100EF0" w:rsidRDefault="00100EF0" w:rsidP="00210E66">
            <w:pPr>
              <w:pStyle w:val="Bullet4"/>
              <w:ind w:left="0"/>
              <w:jc w:val="center"/>
            </w:pPr>
          </w:p>
        </w:tc>
      </w:tr>
      <w:tr w:rsidR="00100EF0" w:rsidRPr="006C189C" w14:paraId="05DE9195" w14:textId="77777777" w:rsidTr="003613B4">
        <w:tc>
          <w:tcPr>
            <w:tcW w:w="633" w:type="dxa"/>
          </w:tcPr>
          <w:p w14:paraId="7BAD88DC"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4B684A65" w14:textId="4A43EFDB" w:rsidR="00100EF0" w:rsidRPr="004F1ECA" w:rsidRDefault="00100EF0" w:rsidP="00D96B3B">
            <w:pPr>
              <w:pStyle w:val="Bullet3"/>
              <w:ind w:left="689" w:hanging="360"/>
            </w:pPr>
            <w:r w:rsidRPr="004F1ECA">
              <w:t>(d)</w:t>
            </w:r>
            <w:r w:rsidRPr="004F1ECA">
              <w:tab/>
              <w:t>Discuss methods by which shareholders can get a return from the company (e.g., salary, interest payments on loans, repayment of loans, dividends).</w:t>
            </w:r>
          </w:p>
        </w:tc>
        <w:tc>
          <w:tcPr>
            <w:tcW w:w="900" w:type="dxa"/>
            <w:vAlign w:val="center"/>
          </w:tcPr>
          <w:p w14:paraId="7AFAE2DF" w14:textId="77777777" w:rsidR="00100EF0" w:rsidRDefault="00100EF0" w:rsidP="00210E66">
            <w:pPr>
              <w:pStyle w:val="Bullet4"/>
              <w:ind w:left="0"/>
              <w:jc w:val="center"/>
            </w:pPr>
          </w:p>
        </w:tc>
      </w:tr>
      <w:tr w:rsidR="00100EF0" w:rsidRPr="006C189C" w14:paraId="4BE7883B" w14:textId="77777777" w:rsidTr="003613B4">
        <w:tc>
          <w:tcPr>
            <w:tcW w:w="633" w:type="dxa"/>
          </w:tcPr>
          <w:p w14:paraId="22A3017D"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627CCC7C" w14:textId="701F8B40" w:rsidR="00100EF0" w:rsidRPr="004F1ECA" w:rsidRDefault="00100EF0" w:rsidP="00D96B3B">
            <w:pPr>
              <w:pStyle w:val="Bullet2"/>
              <w:ind w:hanging="319"/>
            </w:pPr>
            <w:r w:rsidRPr="004F1ECA">
              <w:t>.3</w:t>
            </w:r>
            <w:r w:rsidRPr="004F1ECA">
              <w:tab/>
              <w:t>Restrictions on transfer of shares and pre-emptive rights:</w:t>
            </w:r>
          </w:p>
        </w:tc>
        <w:tc>
          <w:tcPr>
            <w:tcW w:w="900" w:type="dxa"/>
            <w:vAlign w:val="center"/>
          </w:tcPr>
          <w:p w14:paraId="68BD941A" w14:textId="77777777" w:rsidR="00100EF0" w:rsidRDefault="00100EF0" w:rsidP="00210E66">
            <w:pPr>
              <w:pStyle w:val="Bullet4"/>
              <w:ind w:left="0"/>
              <w:jc w:val="center"/>
            </w:pPr>
          </w:p>
        </w:tc>
      </w:tr>
      <w:tr w:rsidR="00100EF0" w:rsidRPr="006C189C" w14:paraId="34FC0E52" w14:textId="77777777" w:rsidTr="003613B4">
        <w:tc>
          <w:tcPr>
            <w:tcW w:w="633" w:type="dxa"/>
          </w:tcPr>
          <w:p w14:paraId="594062A6"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16155B6A" w14:textId="5B9142EB" w:rsidR="00100EF0" w:rsidRPr="004F1ECA" w:rsidRDefault="00100EF0" w:rsidP="00D96B3B">
            <w:pPr>
              <w:pStyle w:val="Bullet3"/>
              <w:ind w:left="689" w:hanging="360"/>
            </w:pPr>
            <w:r w:rsidRPr="004F1ECA">
              <w:t>(a)</w:t>
            </w:r>
            <w:r w:rsidRPr="004F1ECA">
              <w:tab/>
              <w:t xml:space="preserve">In general, whether there are to be any restrictions on transfers of shares and, if so, in what circumstances and why such restrictions are needed, particularly to qualify for the private issuer exemption under the </w:t>
            </w:r>
            <w:r w:rsidRPr="004F1ECA">
              <w:rPr>
                <w:i/>
              </w:rPr>
              <w:t>Securities Act</w:t>
            </w:r>
            <w:r w:rsidRPr="004F1ECA">
              <w:rPr>
                <w:iCs/>
              </w:rPr>
              <w:t>, R.S.B.C. 1996, c. 418</w:t>
            </w:r>
            <w:r w:rsidRPr="004F1ECA">
              <w:t>.</w:t>
            </w:r>
          </w:p>
        </w:tc>
        <w:tc>
          <w:tcPr>
            <w:tcW w:w="900" w:type="dxa"/>
            <w:vAlign w:val="center"/>
          </w:tcPr>
          <w:p w14:paraId="4C60B491" w14:textId="77777777" w:rsidR="00100EF0" w:rsidRDefault="00100EF0" w:rsidP="00210E66">
            <w:pPr>
              <w:pStyle w:val="Bullet4"/>
              <w:ind w:left="0"/>
              <w:jc w:val="center"/>
            </w:pPr>
          </w:p>
        </w:tc>
      </w:tr>
      <w:tr w:rsidR="00100EF0" w:rsidRPr="006C189C" w14:paraId="09AD9083" w14:textId="77777777" w:rsidTr="003613B4">
        <w:tc>
          <w:tcPr>
            <w:tcW w:w="633" w:type="dxa"/>
          </w:tcPr>
          <w:p w14:paraId="7E5C1ED6"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2F180522" w14:textId="36B73E19" w:rsidR="00100EF0" w:rsidRPr="004F1ECA" w:rsidRDefault="00100EF0" w:rsidP="00D96B3B">
            <w:pPr>
              <w:pStyle w:val="Bullet3"/>
              <w:ind w:left="689" w:hanging="360"/>
            </w:pPr>
            <w:r w:rsidRPr="004F1ECA">
              <w:t>(b)</w:t>
            </w:r>
            <w:r w:rsidRPr="004F1ECA">
              <w:tab/>
              <w:t>Advise regarding prohibitions on transfer of shares, and that restrictive clauses are likely to be narrowly construed.</w:t>
            </w:r>
          </w:p>
        </w:tc>
        <w:tc>
          <w:tcPr>
            <w:tcW w:w="900" w:type="dxa"/>
            <w:vAlign w:val="center"/>
          </w:tcPr>
          <w:p w14:paraId="4789B9E6" w14:textId="77777777" w:rsidR="00100EF0" w:rsidRDefault="00100EF0" w:rsidP="00210E66">
            <w:pPr>
              <w:pStyle w:val="Bullet4"/>
              <w:ind w:left="0"/>
              <w:jc w:val="center"/>
            </w:pPr>
          </w:p>
        </w:tc>
      </w:tr>
      <w:tr w:rsidR="00100EF0" w:rsidRPr="006C189C" w14:paraId="29B5DF97" w14:textId="77777777" w:rsidTr="003613B4">
        <w:tc>
          <w:tcPr>
            <w:tcW w:w="633" w:type="dxa"/>
          </w:tcPr>
          <w:p w14:paraId="4E033D0B"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6D49B4BF" w14:textId="23117D51" w:rsidR="00100EF0" w:rsidRPr="004F1ECA" w:rsidRDefault="00100EF0" w:rsidP="00D96B3B">
            <w:pPr>
              <w:pStyle w:val="Bullet3"/>
              <w:ind w:left="689" w:hanging="360"/>
            </w:pPr>
            <w:r w:rsidRPr="004F1ECA">
              <w:t>(c)</w:t>
            </w:r>
            <w:r w:rsidRPr="004F1ECA">
              <w:tab/>
              <w:t>Advise regarding rights of first refusal, whether such rights are triggered by having received an offer or not; and drag-along and piggy-back rights (should the company or the other shareholders have the first right of purchase?).</w:t>
            </w:r>
          </w:p>
        </w:tc>
        <w:tc>
          <w:tcPr>
            <w:tcW w:w="900" w:type="dxa"/>
            <w:vAlign w:val="center"/>
          </w:tcPr>
          <w:p w14:paraId="3FA7F6DA" w14:textId="77777777" w:rsidR="00100EF0" w:rsidRDefault="00100EF0" w:rsidP="00210E66">
            <w:pPr>
              <w:pStyle w:val="Bullet4"/>
              <w:ind w:left="0"/>
              <w:jc w:val="center"/>
            </w:pPr>
          </w:p>
        </w:tc>
      </w:tr>
      <w:tr w:rsidR="00100EF0" w:rsidRPr="006C189C" w14:paraId="5F9A81AE" w14:textId="77777777" w:rsidTr="003613B4">
        <w:tc>
          <w:tcPr>
            <w:tcW w:w="633" w:type="dxa"/>
          </w:tcPr>
          <w:p w14:paraId="68E49512"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2437BAA4" w14:textId="65EC1C44" w:rsidR="00100EF0" w:rsidRPr="004F1ECA" w:rsidRDefault="00100EF0" w:rsidP="00D96B3B">
            <w:pPr>
              <w:pStyle w:val="Bullet2"/>
              <w:ind w:hanging="319"/>
            </w:pPr>
            <w:r w:rsidRPr="004F1ECA">
              <w:t>.4</w:t>
            </w:r>
            <w:r w:rsidRPr="004F1ECA">
              <w:tab/>
              <w:t>Consequences of certain types of events:</w:t>
            </w:r>
          </w:p>
        </w:tc>
        <w:tc>
          <w:tcPr>
            <w:tcW w:w="900" w:type="dxa"/>
            <w:vAlign w:val="center"/>
          </w:tcPr>
          <w:p w14:paraId="08FFFD06" w14:textId="77777777" w:rsidR="00100EF0" w:rsidRDefault="00100EF0" w:rsidP="00210E66">
            <w:pPr>
              <w:pStyle w:val="Bullet4"/>
              <w:ind w:left="0"/>
              <w:jc w:val="center"/>
            </w:pPr>
          </w:p>
        </w:tc>
      </w:tr>
      <w:tr w:rsidR="00100EF0" w:rsidRPr="006C189C" w14:paraId="4C25D50F" w14:textId="77777777" w:rsidTr="003613B4">
        <w:tc>
          <w:tcPr>
            <w:tcW w:w="633" w:type="dxa"/>
          </w:tcPr>
          <w:p w14:paraId="6ADFA20E"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2058E4C1" w14:textId="51063EE6" w:rsidR="00100EF0" w:rsidRPr="004F1ECA" w:rsidRDefault="00100EF0" w:rsidP="00D96B3B">
            <w:pPr>
              <w:pStyle w:val="Bullet3"/>
              <w:ind w:left="689" w:hanging="360"/>
            </w:pPr>
            <w:r w:rsidRPr="004F1ECA">
              <w:t>(a)</w:t>
            </w:r>
            <w:r w:rsidRPr="004F1ECA">
              <w:tab/>
              <w:t>In general, discuss various types of events that might occur, and the desired consequences. Determine whether the consequences will be optional or mandatory.</w:t>
            </w:r>
          </w:p>
        </w:tc>
        <w:tc>
          <w:tcPr>
            <w:tcW w:w="900" w:type="dxa"/>
            <w:vAlign w:val="center"/>
          </w:tcPr>
          <w:p w14:paraId="0D4C88B9" w14:textId="77777777" w:rsidR="00100EF0" w:rsidRDefault="00100EF0" w:rsidP="00210E66">
            <w:pPr>
              <w:pStyle w:val="Bullet4"/>
              <w:ind w:left="0"/>
              <w:jc w:val="center"/>
            </w:pPr>
          </w:p>
        </w:tc>
      </w:tr>
      <w:tr w:rsidR="00100EF0" w:rsidRPr="006C189C" w14:paraId="1B7DE140" w14:textId="77777777" w:rsidTr="003613B4">
        <w:tc>
          <w:tcPr>
            <w:tcW w:w="633" w:type="dxa"/>
          </w:tcPr>
          <w:p w14:paraId="7A4D8F69"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0C83AD8D" w14:textId="3D3DEB08" w:rsidR="00100EF0" w:rsidRPr="004F1ECA" w:rsidRDefault="00100EF0" w:rsidP="00D96B3B">
            <w:pPr>
              <w:pStyle w:val="Bullet3"/>
              <w:ind w:left="689" w:hanging="360"/>
            </w:pPr>
            <w:r w:rsidRPr="004F1ECA">
              <w:t>(b)</w:t>
            </w:r>
            <w:r w:rsidRPr="004F1ECA">
              <w:tab/>
              <w:t xml:space="preserve">Events to consider include: death, termination of employment, shareholder intentions to sell shareholdings, retirement, incapacity, bankruptcy, default under the shareholders’ agreement or an employment contract, change in control of a corporate shareholder, application under the </w:t>
            </w:r>
            <w:r w:rsidRPr="004F1ECA">
              <w:rPr>
                <w:rStyle w:val="ItalicsI1"/>
                <w:sz w:val="22"/>
              </w:rPr>
              <w:t xml:space="preserve">Family </w:t>
            </w:r>
            <w:r w:rsidRPr="004F1ECA">
              <w:rPr>
                <w:rStyle w:val="ItalicsI1"/>
                <w:iCs/>
                <w:sz w:val="22"/>
              </w:rPr>
              <w:t>Law Act</w:t>
            </w:r>
            <w:r w:rsidRPr="00E33FBE">
              <w:rPr>
                <w:rStyle w:val="ItalicsI1"/>
                <w:i w:val="0"/>
                <w:sz w:val="22"/>
              </w:rPr>
              <w:t>, S.B.C. 2011, c. 25,</w:t>
            </w:r>
            <w:r w:rsidRPr="004F1ECA">
              <w:t xml:space="preserve"> against a shareholder for a division of their shares in the capital of the company, etc.</w:t>
            </w:r>
          </w:p>
        </w:tc>
        <w:tc>
          <w:tcPr>
            <w:tcW w:w="900" w:type="dxa"/>
            <w:vAlign w:val="center"/>
          </w:tcPr>
          <w:p w14:paraId="32A5BE2F" w14:textId="77777777" w:rsidR="00100EF0" w:rsidRDefault="00100EF0" w:rsidP="00210E66">
            <w:pPr>
              <w:pStyle w:val="Bullet4"/>
              <w:ind w:left="0"/>
              <w:jc w:val="center"/>
            </w:pPr>
          </w:p>
        </w:tc>
      </w:tr>
      <w:tr w:rsidR="00100EF0" w:rsidRPr="006C189C" w14:paraId="530ED6AF" w14:textId="77777777" w:rsidTr="003613B4">
        <w:tc>
          <w:tcPr>
            <w:tcW w:w="633" w:type="dxa"/>
          </w:tcPr>
          <w:p w14:paraId="77F09727"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63E3AB80" w14:textId="40B14135" w:rsidR="00100EF0" w:rsidRPr="004F1ECA" w:rsidRDefault="00D96B3B" w:rsidP="00D96B3B">
            <w:pPr>
              <w:pStyle w:val="Bullet3"/>
              <w:ind w:left="689" w:hanging="360"/>
            </w:pPr>
            <w:r w:rsidRPr="004F1ECA">
              <w:t>(c)</w:t>
            </w:r>
            <w:r w:rsidRPr="004F1ECA">
              <w:tab/>
              <w:t>Cover all circumstances in which a shareholder can force the company or the other shareholders to buy such shareholder out, and in which the company or other shareholders can force a shareholder to sell to it or them.</w:t>
            </w:r>
          </w:p>
        </w:tc>
        <w:tc>
          <w:tcPr>
            <w:tcW w:w="900" w:type="dxa"/>
            <w:vAlign w:val="center"/>
          </w:tcPr>
          <w:p w14:paraId="303742EA" w14:textId="77777777" w:rsidR="00100EF0" w:rsidRDefault="00100EF0" w:rsidP="00210E66">
            <w:pPr>
              <w:pStyle w:val="Bullet4"/>
              <w:ind w:left="0"/>
              <w:jc w:val="center"/>
            </w:pPr>
          </w:p>
        </w:tc>
      </w:tr>
      <w:tr w:rsidR="00100EF0" w:rsidRPr="006C189C" w14:paraId="62421385" w14:textId="77777777" w:rsidTr="003613B4">
        <w:tc>
          <w:tcPr>
            <w:tcW w:w="633" w:type="dxa"/>
          </w:tcPr>
          <w:p w14:paraId="6871721E" w14:textId="77777777" w:rsidR="00100EF0" w:rsidRPr="006C189C" w:rsidRDefault="00100EF0" w:rsidP="003613B4">
            <w:pPr>
              <w:spacing w:before="80" w:after="80"/>
              <w:jc w:val="right"/>
              <w:rPr>
                <w:rFonts w:ascii="Times New Roman" w:hAnsi="Times New Roman" w:cs="Times New Roman"/>
              </w:rPr>
            </w:pPr>
          </w:p>
        </w:tc>
        <w:tc>
          <w:tcPr>
            <w:tcW w:w="7822" w:type="dxa"/>
            <w:vAlign w:val="center"/>
          </w:tcPr>
          <w:p w14:paraId="6333C8BB" w14:textId="100BADCD" w:rsidR="00100EF0" w:rsidRPr="004F1ECA" w:rsidRDefault="00D96B3B" w:rsidP="00D96B3B">
            <w:pPr>
              <w:pStyle w:val="Bullet3"/>
              <w:ind w:left="689" w:hanging="360"/>
            </w:pPr>
            <w:r w:rsidRPr="004F1ECA">
              <w:t>(d)</w:t>
            </w:r>
            <w:r w:rsidRPr="004F1ECA">
              <w:tab/>
              <w:t>If the company has non-Canadian resident shareholders, consider the effect that any rights to acquire shares in favour of the non-resident shareholder(s) will have on the company’s Canadian-controlled private corporation status, if applicable.</w:t>
            </w:r>
          </w:p>
        </w:tc>
        <w:tc>
          <w:tcPr>
            <w:tcW w:w="900" w:type="dxa"/>
            <w:vAlign w:val="center"/>
          </w:tcPr>
          <w:p w14:paraId="54A893FC" w14:textId="77777777" w:rsidR="00100EF0" w:rsidRDefault="00100EF0" w:rsidP="00210E66">
            <w:pPr>
              <w:pStyle w:val="Bullet4"/>
              <w:ind w:left="0"/>
              <w:jc w:val="center"/>
            </w:pPr>
          </w:p>
        </w:tc>
      </w:tr>
      <w:tr w:rsidR="00D96B3B" w:rsidRPr="006C189C" w14:paraId="4E31E9A2" w14:textId="77777777" w:rsidTr="00C76B04">
        <w:tc>
          <w:tcPr>
            <w:tcW w:w="633" w:type="dxa"/>
          </w:tcPr>
          <w:p w14:paraId="4481284D" w14:textId="77777777" w:rsidR="00D96B3B" w:rsidRPr="006C189C" w:rsidRDefault="00D96B3B" w:rsidP="00D96B3B">
            <w:pPr>
              <w:spacing w:before="80" w:after="80"/>
              <w:jc w:val="right"/>
              <w:rPr>
                <w:rFonts w:ascii="Times New Roman" w:hAnsi="Times New Roman" w:cs="Times New Roman"/>
              </w:rPr>
            </w:pPr>
          </w:p>
        </w:tc>
        <w:tc>
          <w:tcPr>
            <w:tcW w:w="7822" w:type="dxa"/>
          </w:tcPr>
          <w:p w14:paraId="29F3DDCD" w14:textId="1CC4E45F" w:rsidR="00D96B3B" w:rsidRPr="004F1ECA" w:rsidRDefault="00D96B3B" w:rsidP="00D96B3B">
            <w:pPr>
              <w:pStyle w:val="Bullet2"/>
              <w:ind w:hanging="319"/>
            </w:pPr>
            <w:r w:rsidRPr="004F1ECA">
              <w:t>.5</w:t>
            </w:r>
            <w:r w:rsidRPr="004F1ECA">
              <w:tab/>
              <w:t>Where a sale to the company or the other shareholders is contemplated:</w:t>
            </w:r>
          </w:p>
        </w:tc>
        <w:tc>
          <w:tcPr>
            <w:tcW w:w="900" w:type="dxa"/>
            <w:vAlign w:val="center"/>
          </w:tcPr>
          <w:p w14:paraId="0B90D46C" w14:textId="77777777" w:rsidR="00D96B3B" w:rsidRDefault="00D96B3B" w:rsidP="00D96B3B">
            <w:pPr>
              <w:pStyle w:val="Bullet4"/>
              <w:ind w:left="0"/>
              <w:jc w:val="center"/>
            </w:pPr>
          </w:p>
        </w:tc>
      </w:tr>
      <w:tr w:rsidR="00D96B3B" w:rsidRPr="006C189C" w14:paraId="1A9D9C57" w14:textId="77777777" w:rsidTr="003613B4">
        <w:tc>
          <w:tcPr>
            <w:tcW w:w="633" w:type="dxa"/>
          </w:tcPr>
          <w:p w14:paraId="4F25B2AD" w14:textId="77777777" w:rsidR="00D96B3B" w:rsidRPr="006C189C" w:rsidRDefault="00D96B3B" w:rsidP="00D96B3B">
            <w:pPr>
              <w:spacing w:before="80" w:after="80"/>
              <w:jc w:val="right"/>
              <w:rPr>
                <w:rFonts w:ascii="Times New Roman" w:hAnsi="Times New Roman" w:cs="Times New Roman"/>
              </w:rPr>
            </w:pPr>
          </w:p>
        </w:tc>
        <w:tc>
          <w:tcPr>
            <w:tcW w:w="7822" w:type="dxa"/>
            <w:vAlign w:val="center"/>
          </w:tcPr>
          <w:p w14:paraId="744464D8" w14:textId="444DAD40" w:rsidR="00D96B3B" w:rsidRPr="004F1ECA" w:rsidRDefault="00D96B3B" w:rsidP="00D96B3B">
            <w:pPr>
              <w:pStyle w:val="Bullet3"/>
              <w:ind w:left="689" w:hanging="360"/>
            </w:pPr>
            <w:r w:rsidRPr="004F1ECA">
              <w:t>(a)</w:t>
            </w:r>
            <w:r w:rsidRPr="004F1ECA">
              <w:tab/>
              <w:t>Is the sale to the company, the shareholders, or both, and, if it is to both, how will this be handled (e.g., priority, procedures, timing)?</w:t>
            </w:r>
          </w:p>
        </w:tc>
        <w:tc>
          <w:tcPr>
            <w:tcW w:w="900" w:type="dxa"/>
            <w:vAlign w:val="center"/>
          </w:tcPr>
          <w:p w14:paraId="7EDDB60A" w14:textId="77777777" w:rsidR="00D96B3B" w:rsidRDefault="00D96B3B" w:rsidP="00D96B3B">
            <w:pPr>
              <w:pStyle w:val="Bullet4"/>
              <w:ind w:left="0"/>
              <w:jc w:val="center"/>
            </w:pPr>
          </w:p>
        </w:tc>
      </w:tr>
      <w:tr w:rsidR="00D96B3B" w:rsidRPr="006C189C" w14:paraId="7EBAB7DA" w14:textId="77777777" w:rsidTr="003613B4">
        <w:tc>
          <w:tcPr>
            <w:tcW w:w="633" w:type="dxa"/>
          </w:tcPr>
          <w:p w14:paraId="79FEC14E" w14:textId="77777777" w:rsidR="00D96B3B" w:rsidRPr="006C189C" w:rsidRDefault="00D96B3B" w:rsidP="00D96B3B">
            <w:pPr>
              <w:spacing w:before="80" w:after="80"/>
              <w:jc w:val="right"/>
              <w:rPr>
                <w:rFonts w:ascii="Times New Roman" w:hAnsi="Times New Roman" w:cs="Times New Roman"/>
              </w:rPr>
            </w:pPr>
          </w:p>
        </w:tc>
        <w:tc>
          <w:tcPr>
            <w:tcW w:w="7822" w:type="dxa"/>
            <w:vAlign w:val="center"/>
          </w:tcPr>
          <w:p w14:paraId="3D4AB93C" w14:textId="51CC22C0" w:rsidR="00D96B3B" w:rsidRPr="004F1ECA" w:rsidRDefault="00D96B3B" w:rsidP="00D96B3B">
            <w:pPr>
              <w:pStyle w:val="Bullet3"/>
              <w:ind w:left="689" w:hanging="360"/>
            </w:pPr>
            <w:r w:rsidRPr="004F1ECA">
              <w:t>(b)</w:t>
            </w:r>
            <w:r w:rsidRPr="004F1ECA">
              <w:tab/>
              <w:t>How will the purchase be funded and paid?</w:t>
            </w:r>
          </w:p>
        </w:tc>
        <w:tc>
          <w:tcPr>
            <w:tcW w:w="900" w:type="dxa"/>
            <w:vAlign w:val="center"/>
          </w:tcPr>
          <w:p w14:paraId="76B0FBD9" w14:textId="77777777" w:rsidR="00D96B3B" w:rsidRDefault="00D96B3B" w:rsidP="00D96B3B">
            <w:pPr>
              <w:pStyle w:val="Bullet4"/>
              <w:ind w:left="0"/>
              <w:jc w:val="center"/>
            </w:pPr>
          </w:p>
        </w:tc>
      </w:tr>
      <w:tr w:rsidR="00D96B3B" w:rsidRPr="006C189C" w14:paraId="06B6BBA8" w14:textId="77777777" w:rsidTr="003613B4">
        <w:tc>
          <w:tcPr>
            <w:tcW w:w="633" w:type="dxa"/>
          </w:tcPr>
          <w:p w14:paraId="59BADB29" w14:textId="77777777" w:rsidR="00D96B3B" w:rsidRPr="006C189C" w:rsidRDefault="00D96B3B" w:rsidP="00D96B3B">
            <w:pPr>
              <w:spacing w:before="80" w:after="80"/>
              <w:jc w:val="right"/>
              <w:rPr>
                <w:rFonts w:ascii="Times New Roman" w:hAnsi="Times New Roman" w:cs="Times New Roman"/>
              </w:rPr>
            </w:pPr>
          </w:p>
        </w:tc>
        <w:tc>
          <w:tcPr>
            <w:tcW w:w="7822" w:type="dxa"/>
            <w:vAlign w:val="center"/>
          </w:tcPr>
          <w:p w14:paraId="70769081" w14:textId="74779269" w:rsidR="00D96B3B" w:rsidRPr="004F1ECA" w:rsidRDefault="00D96B3B" w:rsidP="00D96B3B">
            <w:pPr>
              <w:pStyle w:val="Bullet3"/>
              <w:ind w:left="689" w:hanging="360"/>
            </w:pPr>
            <w:r w:rsidRPr="004F1ECA">
              <w:t>(c)</w:t>
            </w:r>
            <w:r w:rsidRPr="004F1ECA">
              <w:tab/>
              <w:t>What standard representations, warranties, covenants, etc. should be included in any purchase and sale transaction (e.g., title, no encumbrances)? Should there be standard terms relating to guarantees, closing arrangements, indebtedness, resignations, third-party approvals, non-competition clauses, restrictive covenants?</w:t>
            </w:r>
          </w:p>
        </w:tc>
        <w:tc>
          <w:tcPr>
            <w:tcW w:w="900" w:type="dxa"/>
            <w:vAlign w:val="center"/>
          </w:tcPr>
          <w:p w14:paraId="0F929DA7" w14:textId="77777777" w:rsidR="00D96B3B" w:rsidRDefault="00D96B3B" w:rsidP="00D96B3B">
            <w:pPr>
              <w:pStyle w:val="Bullet4"/>
              <w:ind w:left="0"/>
              <w:jc w:val="center"/>
            </w:pPr>
          </w:p>
        </w:tc>
      </w:tr>
      <w:tr w:rsidR="00D96B3B" w:rsidRPr="006C189C" w14:paraId="7A8CCDDE" w14:textId="77777777" w:rsidTr="003613B4">
        <w:tc>
          <w:tcPr>
            <w:tcW w:w="633" w:type="dxa"/>
          </w:tcPr>
          <w:p w14:paraId="7C596200" w14:textId="77777777" w:rsidR="00D96B3B" w:rsidRPr="006C189C" w:rsidRDefault="00D96B3B" w:rsidP="00D96B3B">
            <w:pPr>
              <w:spacing w:before="80" w:after="80"/>
              <w:jc w:val="right"/>
              <w:rPr>
                <w:rFonts w:ascii="Times New Roman" w:hAnsi="Times New Roman" w:cs="Times New Roman"/>
              </w:rPr>
            </w:pPr>
          </w:p>
        </w:tc>
        <w:tc>
          <w:tcPr>
            <w:tcW w:w="7822" w:type="dxa"/>
            <w:vAlign w:val="center"/>
          </w:tcPr>
          <w:p w14:paraId="0C11A79E" w14:textId="3BCCDA67" w:rsidR="00D96B3B" w:rsidRPr="004F1ECA" w:rsidRDefault="00D96B3B" w:rsidP="00D96B3B">
            <w:pPr>
              <w:pStyle w:val="Bullet2"/>
              <w:ind w:hanging="319"/>
            </w:pPr>
            <w:r w:rsidRPr="004F1ECA">
              <w:t>.6</w:t>
            </w:r>
            <w:r w:rsidRPr="004F1ECA">
              <w:tab/>
              <w:t>Valuation (calculation of purchase price, etc. in various circumstances, e.g., minority discount, control premium):</w:t>
            </w:r>
          </w:p>
        </w:tc>
        <w:tc>
          <w:tcPr>
            <w:tcW w:w="900" w:type="dxa"/>
            <w:vAlign w:val="center"/>
          </w:tcPr>
          <w:p w14:paraId="1C581791" w14:textId="77777777" w:rsidR="00D96B3B" w:rsidRDefault="00D96B3B" w:rsidP="00D96B3B">
            <w:pPr>
              <w:pStyle w:val="Bullet4"/>
              <w:ind w:left="0"/>
              <w:jc w:val="center"/>
            </w:pPr>
          </w:p>
        </w:tc>
      </w:tr>
      <w:tr w:rsidR="00D96B3B" w:rsidRPr="006C189C" w14:paraId="6D5187AA" w14:textId="77777777" w:rsidTr="003613B4">
        <w:tc>
          <w:tcPr>
            <w:tcW w:w="633" w:type="dxa"/>
          </w:tcPr>
          <w:p w14:paraId="426EA2AD" w14:textId="77777777" w:rsidR="00D96B3B" w:rsidRPr="006C189C" w:rsidRDefault="00D96B3B" w:rsidP="00D96B3B">
            <w:pPr>
              <w:spacing w:before="80" w:after="80"/>
              <w:jc w:val="right"/>
              <w:rPr>
                <w:rFonts w:ascii="Times New Roman" w:hAnsi="Times New Roman" w:cs="Times New Roman"/>
              </w:rPr>
            </w:pPr>
          </w:p>
        </w:tc>
        <w:tc>
          <w:tcPr>
            <w:tcW w:w="7822" w:type="dxa"/>
            <w:vAlign w:val="center"/>
          </w:tcPr>
          <w:p w14:paraId="2963996C" w14:textId="44FEF081" w:rsidR="00D96B3B" w:rsidRPr="004F1ECA" w:rsidRDefault="00D96B3B" w:rsidP="00D96B3B">
            <w:pPr>
              <w:pStyle w:val="Bullet3"/>
              <w:ind w:left="689" w:hanging="360"/>
            </w:pPr>
            <w:r w:rsidRPr="004F1ECA">
              <w:t>(a)</w:t>
            </w:r>
            <w:r w:rsidRPr="004F1ECA">
              <w:tab/>
              <w:t>Values or methods for calculating values should be set out in the shareholders’ agreement and should be practical, reasonable, and certain.</w:t>
            </w:r>
          </w:p>
        </w:tc>
        <w:tc>
          <w:tcPr>
            <w:tcW w:w="900" w:type="dxa"/>
            <w:vAlign w:val="center"/>
          </w:tcPr>
          <w:p w14:paraId="6D017E27" w14:textId="77777777" w:rsidR="00D96B3B" w:rsidRDefault="00D96B3B" w:rsidP="00D96B3B">
            <w:pPr>
              <w:pStyle w:val="Bullet4"/>
              <w:ind w:left="0"/>
              <w:jc w:val="center"/>
            </w:pPr>
          </w:p>
        </w:tc>
      </w:tr>
      <w:tr w:rsidR="00D96B3B" w:rsidRPr="006C189C" w14:paraId="770B6EFC" w14:textId="77777777" w:rsidTr="003613B4">
        <w:tc>
          <w:tcPr>
            <w:tcW w:w="633" w:type="dxa"/>
          </w:tcPr>
          <w:p w14:paraId="49F48CBC" w14:textId="77777777" w:rsidR="00D96B3B" w:rsidRPr="006C189C" w:rsidRDefault="00D96B3B" w:rsidP="00D96B3B">
            <w:pPr>
              <w:spacing w:before="80" w:after="80"/>
              <w:jc w:val="right"/>
              <w:rPr>
                <w:rFonts w:ascii="Times New Roman" w:hAnsi="Times New Roman" w:cs="Times New Roman"/>
              </w:rPr>
            </w:pPr>
          </w:p>
        </w:tc>
        <w:tc>
          <w:tcPr>
            <w:tcW w:w="7822" w:type="dxa"/>
            <w:vAlign w:val="center"/>
          </w:tcPr>
          <w:p w14:paraId="45C7EEB9" w14:textId="180C9F35" w:rsidR="00D96B3B" w:rsidRPr="004F1ECA" w:rsidRDefault="00D96B3B" w:rsidP="00D96B3B">
            <w:pPr>
              <w:pStyle w:val="Bullet3"/>
              <w:ind w:left="689" w:hanging="360"/>
            </w:pPr>
            <w:r w:rsidRPr="004F1ECA">
              <w:t>(b)</w:t>
            </w:r>
            <w:r w:rsidRPr="004F1ECA">
              <w:tab/>
              <w:t>Advise the client to consult a chartered business valuator or an accountant for the most appropriate methods.</w:t>
            </w:r>
          </w:p>
        </w:tc>
        <w:tc>
          <w:tcPr>
            <w:tcW w:w="900" w:type="dxa"/>
            <w:vAlign w:val="center"/>
          </w:tcPr>
          <w:p w14:paraId="221E14A9" w14:textId="77777777" w:rsidR="00D96B3B" w:rsidRDefault="00D96B3B" w:rsidP="00D96B3B">
            <w:pPr>
              <w:pStyle w:val="Bullet4"/>
              <w:ind w:left="0"/>
              <w:jc w:val="center"/>
            </w:pPr>
          </w:p>
        </w:tc>
      </w:tr>
      <w:tr w:rsidR="00D96B3B" w:rsidRPr="006C189C" w14:paraId="1A94580B" w14:textId="77777777" w:rsidTr="003613B4">
        <w:tc>
          <w:tcPr>
            <w:tcW w:w="633" w:type="dxa"/>
          </w:tcPr>
          <w:p w14:paraId="09E1A7C4" w14:textId="77777777" w:rsidR="00D96B3B" w:rsidRPr="006C189C" w:rsidRDefault="00D96B3B" w:rsidP="00D96B3B">
            <w:pPr>
              <w:spacing w:before="80" w:after="80"/>
              <w:jc w:val="right"/>
              <w:rPr>
                <w:rFonts w:ascii="Times New Roman" w:hAnsi="Times New Roman" w:cs="Times New Roman"/>
              </w:rPr>
            </w:pPr>
          </w:p>
        </w:tc>
        <w:tc>
          <w:tcPr>
            <w:tcW w:w="7822" w:type="dxa"/>
            <w:vAlign w:val="center"/>
          </w:tcPr>
          <w:p w14:paraId="30EDC21A" w14:textId="0AD8923C" w:rsidR="00D96B3B" w:rsidRPr="004F1ECA" w:rsidRDefault="00D96B3B" w:rsidP="00D96B3B">
            <w:pPr>
              <w:pStyle w:val="Bullet2"/>
              <w:ind w:hanging="319"/>
            </w:pPr>
            <w:r w:rsidRPr="004F1ECA">
              <w:t>.7</w:t>
            </w:r>
            <w:r w:rsidRPr="004F1ECA">
              <w:tab/>
              <w:t>Mechanisms for dispute resolution (e.g., a “shotgun” or compulsory purchase clause, dissolution of the company, obligation to negotiate or mediate first, then arbitrate). Consider the appropriateness of the various mechanisms in light of financial resources of the parties and disparity in respective shareholdings.</w:t>
            </w:r>
          </w:p>
        </w:tc>
        <w:tc>
          <w:tcPr>
            <w:tcW w:w="900" w:type="dxa"/>
            <w:vAlign w:val="center"/>
          </w:tcPr>
          <w:p w14:paraId="2C3C2641" w14:textId="77777777" w:rsidR="00D96B3B" w:rsidRDefault="00D96B3B" w:rsidP="00D96B3B">
            <w:pPr>
              <w:pStyle w:val="Bullet4"/>
              <w:ind w:left="0"/>
              <w:jc w:val="center"/>
            </w:pPr>
          </w:p>
        </w:tc>
      </w:tr>
      <w:tr w:rsidR="00D96B3B" w:rsidRPr="006C189C" w14:paraId="257562B0" w14:textId="77777777" w:rsidTr="003613B4">
        <w:tc>
          <w:tcPr>
            <w:tcW w:w="633" w:type="dxa"/>
          </w:tcPr>
          <w:p w14:paraId="2E56375A" w14:textId="625B5D86" w:rsidR="00D96B3B" w:rsidRPr="006C189C" w:rsidRDefault="00D96B3B" w:rsidP="00D96B3B">
            <w:pPr>
              <w:spacing w:before="80" w:after="80"/>
              <w:jc w:val="right"/>
              <w:rPr>
                <w:rFonts w:ascii="Times New Roman" w:hAnsi="Times New Roman" w:cs="Times New Roman"/>
              </w:rPr>
            </w:pPr>
            <w:r>
              <w:rPr>
                <w:rFonts w:ascii="Times New Roman" w:hAnsi="Times New Roman" w:cs="Times New Roman"/>
              </w:rPr>
              <w:t>2.7</w:t>
            </w:r>
          </w:p>
        </w:tc>
        <w:tc>
          <w:tcPr>
            <w:tcW w:w="7822" w:type="dxa"/>
            <w:vAlign w:val="center"/>
          </w:tcPr>
          <w:p w14:paraId="3C964925" w14:textId="661FD15E" w:rsidR="00D96B3B" w:rsidRPr="004F1ECA" w:rsidRDefault="00D96B3B" w:rsidP="00D96B3B">
            <w:pPr>
              <w:pStyle w:val="Bullet1"/>
            </w:pPr>
            <w:r w:rsidRPr="004F1ECA">
              <w:t>Advise regarding the tax consequences of the proposed provisions, or advise the client to get specialized tax advice (particularly with respect to provisions dealing with purchase of the interest of a deceased shareholder).</w:t>
            </w:r>
          </w:p>
        </w:tc>
        <w:tc>
          <w:tcPr>
            <w:tcW w:w="900" w:type="dxa"/>
            <w:vAlign w:val="center"/>
          </w:tcPr>
          <w:p w14:paraId="6C80D4EC" w14:textId="46349F92" w:rsidR="00D96B3B" w:rsidRDefault="004916DB" w:rsidP="00D96B3B">
            <w:pPr>
              <w:pStyle w:val="Bullet4"/>
              <w:ind w:left="0"/>
              <w:jc w:val="center"/>
            </w:pPr>
            <w:r w:rsidRPr="00437BB1">
              <w:rPr>
                <w:sz w:val="40"/>
                <w:szCs w:val="40"/>
              </w:rPr>
              <w:sym w:font="Wingdings 2" w:char="F0A3"/>
            </w:r>
          </w:p>
        </w:tc>
      </w:tr>
      <w:tr w:rsidR="00D96B3B" w:rsidRPr="006C189C" w14:paraId="7ACDD76B" w14:textId="77777777" w:rsidTr="003613B4">
        <w:tc>
          <w:tcPr>
            <w:tcW w:w="633" w:type="dxa"/>
          </w:tcPr>
          <w:p w14:paraId="6B258D9A" w14:textId="56E1FEB8" w:rsidR="00D96B3B" w:rsidRPr="006C189C" w:rsidRDefault="00D96B3B" w:rsidP="00D96B3B">
            <w:pPr>
              <w:spacing w:before="80" w:after="80"/>
              <w:jc w:val="right"/>
              <w:rPr>
                <w:rFonts w:ascii="Times New Roman" w:hAnsi="Times New Roman" w:cs="Times New Roman"/>
              </w:rPr>
            </w:pPr>
            <w:r>
              <w:rPr>
                <w:rFonts w:ascii="Times New Roman" w:hAnsi="Times New Roman" w:cs="Times New Roman"/>
              </w:rPr>
              <w:t>2.8</w:t>
            </w:r>
          </w:p>
        </w:tc>
        <w:tc>
          <w:tcPr>
            <w:tcW w:w="7822" w:type="dxa"/>
            <w:vAlign w:val="center"/>
          </w:tcPr>
          <w:p w14:paraId="1AB63480" w14:textId="22FD1297" w:rsidR="00D96B3B" w:rsidRPr="004F1ECA" w:rsidRDefault="00D96B3B" w:rsidP="00D96B3B">
            <w:pPr>
              <w:pStyle w:val="Bullet1"/>
            </w:pPr>
            <w:r w:rsidRPr="004F1ECA">
              <w:t>Ensure that the proposed provisions are workable and reasonable in the circumstances.</w:t>
            </w:r>
          </w:p>
        </w:tc>
        <w:tc>
          <w:tcPr>
            <w:tcW w:w="900" w:type="dxa"/>
            <w:vAlign w:val="center"/>
          </w:tcPr>
          <w:p w14:paraId="5B08C72C" w14:textId="6BDA7855" w:rsidR="00D96B3B" w:rsidRDefault="004916DB" w:rsidP="00D96B3B">
            <w:pPr>
              <w:pStyle w:val="Bullet4"/>
              <w:ind w:left="0"/>
              <w:jc w:val="center"/>
            </w:pPr>
            <w:r w:rsidRPr="00437BB1">
              <w:rPr>
                <w:sz w:val="40"/>
                <w:szCs w:val="40"/>
              </w:rPr>
              <w:sym w:font="Wingdings 2" w:char="F0A3"/>
            </w:r>
          </w:p>
        </w:tc>
      </w:tr>
      <w:tr w:rsidR="00D96B3B" w:rsidRPr="006C189C" w14:paraId="7DB8D665" w14:textId="77777777" w:rsidTr="003613B4">
        <w:tc>
          <w:tcPr>
            <w:tcW w:w="633" w:type="dxa"/>
          </w:tcPr>
          <w:p w14:paraId="14756DD9" w14:textId="2272430B" w:rsidR="00D96B3B" w:rsidRPr="006C189C" w:rsidRDefault="00D96B3B" w:rsidP="00D96B3B">
            <w:pPr>
              <w:spacing w:before="80" w:after="80"/>
              <w:jc w:val="right"/>
              <w:rPr>
                <w:rFonts w:ascii="Times New Roman" w:hAnsi="Times New Roman" w:cs="Times New Roman"/>
              </w:rPr>
            </w:pPr>
            <w:r>
              <w:rPr>
                <w:rFonts w:ascii="Times New Roman" w:hAnsi="Times New Roman" w:cs="Times New Roman"/>
              </w:rPr>
              <w:t>2.9</w:t>
            </w:r>
          </w:p>
        </w:tc>
        <w:tc>
          <w:tcPr>
            <w:tcW w:w="7822" w:type="dxa"/>
            <w:vAlign w:val="center"/>
          </w:tcPr>
          <w:p w14:paraId="7803D055" w14:textId="2FDA9AE4" w:rsidR="00D96B3B" w:rsidRPr="006C189C" w:rsidRDefault="00D96B3B" w:rsidP="00D96B3B">
            <w:pPr>
              <w:pStyle w:val="Bullet1"/>
            </w:pPr>
            <w:r w:rsidRPr="00336576">
              <w:t>Where the client has not already done so, advise the client to discuss the various issues with the other parties and reach a satisfactory solution that will ensure continuing fairness to all parties, and to inform you of the results.</w:t>
            </w:r>
            <w:r>
              <w:t xml:space="preserve"> Consider whether a term sheet setting out the high-level business terms is appropriate in the circumstances. A term sheet will assist the parties with ensuring that they have alignment on the key business terms in advance of drafting the definitive shareholders’ agreement.</w:t>
            </w:r>
          </w:p>
        </w:tc>
        <w:tc>
          <w:tcPr>
            <w:tcW w:w="900" w:type="dxa"/>
            <w:vAlign w:val="center"/>
          </w:tcPr>
          <w:p w14:paraId="455C370D" w14:textId="37473BFB" w:rsidR="00D96B3B" w:rsidRDefault="004916DB" w:rsidP="00D96B3B">
            <w:pPr>
              <w:pStyle w:val="Bullet4"/>
              <w:ind w:left="0"/>
              <w:jc w:val="center"/>
            </w:pPr>
            <w:r w:rsidRPr="00437BB1">
              <w:rPr>
                <w:sz w:val="40"/>
                <w:szCs w:val="40"/>
              </w:rPr>
              <w:sym w:font="Wingdings 2" w:char="F0A3"/>
            </w:r>
          </w:p>
        </w:tc>
      </w:tr>
      <w:tr w:rsidR="00D96B3B" w:rsidRPr="006C189C" w14:paraId="0AAFA52A" w14:textId="77777777" w:rsidTr="003613B4">
        <w:tc>
          <w:tcPr>
            <w:tcW w:w="633" w:type="dxa"/>
          </w:tcPr>
          <w:p w14:paraId="76E0BE78" w14:textId="5FDE31DF" w:rsidR="00D96B3B" w:rsidRPr="006C189C" w:rsidRDefault="00D96B3B" w:rsidP="00D96B3B">
            <w:pPr>
              <w:spacing w:before="80" w:after="80"/>
              <w:jc w:val="right"/>
              <w:rPr>
                <w:rFonts w:ascii="Times New Roman" w:hAnsi="Times New Roman" w:cs="Times New Roman"/>
              </w:rPr>
            </w:pPr>
            <w:r>
              <w:rPr>
                <w:rFonts w:ascii="Times New Roman" w:hAnsi="Times New Roman" w:cs="Times New Roman"/>
              </w:rPr>
              <w:t>2.10</w:t>
            </w:r>
          </w:p>
        </w:tc>
        <w:tc>
          <w:tcPr>
            <w:tcW w:w="7822" w:type="dxa"/>
            <w:vAlign w:val="center"/>
          </w:tcPr>
          <w:p w14:paraId="26F7F49C" w14:textId="3A8F13A3" w:rsidR="00D96B3B" w:rsidRPr="006C189C" w:rsidRDefault="00D96B3B" w:rsidP="00D96B3B">
            <w:pPr>
              <w:pStyle w:val="Bullet1"/>
            </w:pPr>
            <w:r w:rsidRPr="00336576">
              <w:t>Get instructions to proceed with drafting the shareholders’ agreement and, if appropriate, an employment contract.</w:t>
            </w:r>
          </w:p>
        </w:tc>
        <w:tc>
          <w:tcPr>
            <w:tcW w:w="900" w:type="dxa"/>
            <w:vAlign w:val="center"/>
          </w:tcPr>
          <w:p w14:paraId="116FD79F" w14:textId="42D4E3A0" w:rsidR="00D96B3B" w:rsidRDefault="004916DB" w:rsidP="00D96B3B">
            <w:pPr>
              <w:pStyle w:val="Bullet4"/>
              <w:ind w:left="0"/>
              <w:jc w:val="center"/>
            </w:pPr>
            <w:r w:rsidRPr="00437BB1">
              <w:rPr>
                <w:sz w:val="40"/>
                <w:szCs w:val="40"/>
              </w:rPr>
              <w:sym w:font="Wingdings 2" w:char="F0A3"/>
            </w:r>
          </w:p>
        </w:tc>
      </w:tr>
      <w:tr w:rsidR="00D96B3B" w:rsidRPr="006C189C" w14:paraId="4398F79D" w14:textId="77777777" w:rsidTr="003613B4">
        <w:tc>
          <w:tcPr>
            <w:tcW w:w="633" w:type="dxa"/>
          </w:tcPr>
          <w:p w14:paraId="249F1CF7" w14:textId="08B56012" w:rsidR="00D96B3B" w:rsidRPr="006C189C" w:rsidRDefault="00D96B3B" w:rsidP="00D96B3B">
            <w:pPr>
              <w:spacing w:before="80" w:after="80"/>
              <w:jc w:val="right"/>
              <w:rPr>
                <w:rFonts w:ascii="Times New Roman" w:hAnsi="Times New Roman" w:cs="Times New Roman"/>
              </w:rPr>
            </w:pPr>
            <w:r>
              <w:rPr>
                <w:rFonts w:ascii="Times New Roman" w:hAnsi="Times New Roman" w:cs="Times New Roman"/>
              </w:rPr>
              <w:t>2.11</w:t>
            </w:r>
          </w:p>
        </w:tc>
        <w:tc>
          <w:tcPr>
            <w:tcW w:w="7822" w:type="dxa"/>
            <w:vAlign w:val="center"/>
          </w:tcPr>
          <w:p w14:paraId="072704B4" w14:textId="22E681F0" w:rsidR="00D96B3B" w:rsidRPr="006C189C" w:rsidRDefault="00D96B3B" w:rsidP="00D96B3B">
            <w:pPr>
              <w:pStyle w:val="Bullet1"/>
            </w:pPr>
            <w:r w:rsidRPr="00BF5EBE">
              <w:t xml:space="preserve">If you are not in a position to act, advise the client. Make a record of the advice given, and file your notes. Send a non-engagement letter (for samples, see the Law Society </w:t>
            </w:r>
            <w:r>
              <w:t xml:space="preserve">resource available </w:t>
            </w:r>
            <w:r w:rsidRPr="00D96B3B">
              <w:t xml:space="preserve">at </w:t>
            </w:r>
            <w:hyperlink r:id="rId14" w:history="1">
              <w:r w:rsidR="007156C5" w:rsidRPr="00995B22">
                <w:rPr>
                  <w:rStyle w:val="Hyperlink"/>
                </w:rPr>
                <w:t>www.lawsociety.bc.ca/Website/media/Shared/docs/practice/</w:t>
              </w:r>
              <w:r w:rsidR="007156C5" w:rsidRPr="00995B22">
                <w:rPr>
                  <w:rStyle w:val="Hyperlink"/>
                </w:rPr>
                <w:br/>
                <w:t>resources/Ltrs-NonEngagement.pdf</w:t>
              </w:r>
            </w:hyperlink>
            <w:r w:rsidRPr="00D96B3B">
              <w:t xml:space="preserve"> (PDF</w:t>
            </w:r>
            <w:r>
              <w:t>)</w:t>
            </w:r>
            <w:r w:rsidRPr="00BF5EBE">
              <w:t>.</w:t>
            </w:r>
          </w:p>
        </w:tc>
        <w:tc>
          <w:tcPr>
            <w:tcW w:w="900" w:type="dxa"/>
            <w:vAlign w:val="center"/>
          </w:tcPr>
          <w:p w14:paraId="7EEC201D" w14:textId="7C2D49FD" w:rsidR="00D96B3B" w:rsidRDefault="004916DB" w:rsidP="00D96B3B">
            <w:pPr>
              <w:pStyle w:val="Bullet4"/>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47246794" w:rsidR="00EF1DBD" w:rsidRPr="0024237C" w:rsidRDefault="00D96B3B"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4C5957E4" w:rsidR="00EF1DBD" w:rsidRPr="006C189C" w:rsidRDefault="00D96B3B" w:rsidP="00EF1DBD">
            <w:pPr>
              <w:pStyle w:val="Heading1"/>
              <w:spacing w:before="80" w:after="80"/>
              <w:outlineLvl w:val="0"/>
            </w:pPr>
            <w:r w:rsidRPr="00336576">
              <w:t>AFTER THE INITIAL INTERVIEW</w:t>
            </w:r>
          </w:p>
        </w:tc>
      </w:tr>
      <w:tr w:rsidR="003613B4" w:rsidRPr="006C189C" w14:paraId="3D41846B" w14:textId="0642D6D7" w:rsidTr="003613B4">
        <w:tc>
          <w:tcPr>
            <w:tcW w:w="641" w:type="dxa"/>
          </w:tcPr>
          <w:p w14:paraId="5CC51111" w14:textId="374504AF" w:rsidR="003613B4" w:rsidRPr="006C189C" w:rsidRDefault="00571081" w:rsidP="003613B4">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0F2C9AF6" w14:textId="1CD2F7D0" w:rsidR="003613B4" w:rsidRPr="006C189C" w:rsidRDefault="00571081" w:rsidP="00571081">
            <w:pPr>
              <w:pStyle w:val="Bullet1"/>
            </w:pPr>
            <w:r>
              <w:t>Confirm your retainer.</w:t>
            </w:r>
            <w:r w:rsidRPr="00336576">
              <w:t xml:space="preserve"> </w:t>
            </w:r>
            <w:r>
              <w:t>R</w:t>
            </w:r>
            <w:r w:rsidRPr="00CB1A58">
              <w:t xml:space="preserve">efer to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6C20B748" w:rsidR="003613B4" w:rsidRPr="006C189C" w:rsidRDefault="00571081" w:rsidP="003613B4">
            <w:pPr>
              <w:spacing w:before="80" w:after="80"/>
              <w:jc w:val="right"/>
              <w:rPr>
                <w:rFonts w:ascii="Times New Roman" w:hAnsi="Times New Roman" w:cs="Times New Roman"/>
              </w:rPr>
            </w:pPr>
            <w:r>
              <w:rPr>
                <w:rFonts w:ascii="Times New Roman" w:hAnsi="Times New Roman" w:cs="Times New Roman"/>
              </w:rPr>
              <w:t>3.2</w:t>
            </w:r>
          </w:p>
        </w:tc>
        <w:tc>
          <w:tcPr>
            <w:tcW w:w="7814" w:type="dxa"/>
            <w:vAlign w:val="center"/>
          </w:tcPr>
          <w:p w14:paraId="2ECC702C" w14:textId="11D04CF6" w:rsidR="003613B4" w:rsidRPr="006C189C" w:rsidRDefault="00571081" w:rsidP="00571081">
            <w:pPr>
              <w:pStyle w:val="Bullet1"/>
            </w:pPr>
            <w:r w:rsidRPr="00DD6C17">
              <w:t xml:space="preserve">Confirm compliance with </w:t>
            </w:r>
            <w:r w:rsidRPr="00345DFC">
              <w:t>Law Society Rules 3-98 to 3-110</w:t>
            </w:r>
            <w:r w:rsidRPr="00DD6C17">
              <w:t xml:space="preserve"> on client identification and verification (see item 1.</w:t>
            </w:r>
            <w:r>
              <w:t>4</w:t>
            </w:r>
            <w:r w:rsidRPr="00DD6C17">
              <w:t xml:space="preserve"> in this checklist).</w:t>
            </w:r>
          </w:p>
        </w:tc>
        <w:tc>
          <w:tcPr>
            <w:tcW w:w="900" w:type="dxa"/>
            <w:vAlign w:val="center"/>
          </w:tcPr>
          <w:p w14:paraId="6CEF90F4" w14:textId="608DFEFD" w:rsidR="003613B4" w:rsidRPr="006C189C" w:rsidRDefault="00571081" w:rsidP="003613B4">
            <w:pPr>
              <w:pStyle w:val="Bullet2"/>
              <w:ind w:left="-104"/>
              <w:jc w:val="center"/>
            </w:pPr>
            <w:r w:rsidRPr="00437BB1">
              <w:rPr>
                <w:sz w:val="40"/>
                <w:szCs w:val="40"/>
              </w:rPr>
              <w:sym w:font="Wingdings 2" w:char="F0A3"/>
            </w:r>
          </w:p>
        </w:tc>
      </w:tr>
      <w:tr w:rsidR="003613B4" w:rsidRPr="006C189C" w14:paraId="14741296" w14:textId="3D98D17C" w:rsidTr="003613B4">
        <w:tc>
          <w:tcPr>
            <w:tcW w:w="641" w:type="dxa"/>
          </w:tcPr>
          <w:p w14:paraId="10A6B3CB" w14:textId="16BA3770" w:rsidR="003613B4" w:rsidRPr="006C189C" w:rsidRDefault="00571081" w:rsidP="003613B4">
            <w:pPr>
              <w:spacing w:before="80" w:after="80"/>
              <w:jc w:val="right"/>
              <w:rPr>
                <w:rFonts w:ascii="Times New Roman" w:hAnsi="Times New Roman" w:cs="Times New Roman"/>
              </w:rPr>
            </w:pPr>
            <w:r>
              <w:rPr>
                <w:rFonts w:ascii="Times New Roman" w:hAnsi="Times New Roman" w:cs="Times New Roman"/>
              </w:rPr>
              <w:t>3.3</w:t>
            </w:r>
          </w:p>
        </w:tc>
        <w:tc>
          <w:tcPr>
            <w:tcW w:w="7814" w:type="dxa"/>
            <w:vAlign w:val="center"/>
          </w:tcPr>
          <w:p w14:paraId="664C3402" w14:textId="2CC82936" w:rsidR="003613B4" w:rsidRPr="006C189C" w:rsidRDefault="00571081" w:rsidP="00571081">
            <w:pPr>
              <w:pStyle w:val="Bullet1"/>
            </w:pPr>
            <w:r w:rsidRPr="00DD6C17">
              <w:t>If the client is a company, verify who has the authority to give instructions</w:t>
            </w:r>
            <w:r>
              <w:t xml:space="preserve"> </w:t>
            </w:r>
            <w:r w:rsidRPr="006C1F3A">
              <w:t>(</w:t>
            </w:r>
            <w:r w:rsidRPr="00C72092">
              <w:rPr>
                <w:i/>
              </w:rPr>
              <w:t>BC Code</w:t>
            </w:r>
            <w:r w:rsidRPr="0060278E">
              <w:t>, rule 3.2-3</w:t>
            </w:r>
            <w:r>
              <w:t>,</w:t>
            </w:r>
            <w:r w:rsidRPr="0060278E">
              <w:t xml:space="preserve"> Commentary [1])</w:t>
            </w:r>
            <w:r w:rsidRPr="00DD6C17">
              <w:t>. Consider getting a directors’ resolution confirming your retainer and giving one director or officer the authority to instruct you.</w:t>
            </w:r>
            <w:r>
              <w:t xml:space="preserve"> Communicate with counsel representing the other parties that you are acting for your client. If other parties are unrepresented, urge them in writing to obtain independent legal representation. Make</w:t>
            </w:r>
            <w:r w:rsidRPr="00875191">
              <w:t xml:space="preserve"> it clear to the other parties that you are not protecting their interests and that you are acting exclusively in the interests of your client: see </w:t>
            </w:r>
            <w:r w:rsidRPr="00345DFC">
              <w:rPr>
                <w:i/>
              </w:rPr>
              <w:t>BC Code</w:t>
            </w:r>
            <w:r w:rsidRPr="00345DFC">
              <w:t xml:space="preserve"> rule 7.2-9</w:t>
            </w:r>
            <w:r>
              <w:t>.</w:t>
            </w:r>
          </w:p>
        </w:tc>
        <w:tc>
          <w:tcPr>
            <w:tcW w:w="900" w:type="dxa"/>
            <w:vAlign w:val="center"/>
          </w:tcPr>
          <w:p w14:paraId="2AA94ACE" w14:textId="427C1E5B" w:rsidR="003613B4" w:rsidRDefault="00571081" w:rsidP="003613B4">
            <w:pPr>
              <w:pStyle w:val="Bullet3"/>
              <w:ind w:left="-104"/>
              <w:jc w:val="center"/>
            </w:pPr>
            <w:r w:rsidRPr="00437BB1">
              <w:rPr>
                <w:sz w:val="40"/>
                <w:szCs w:val="40"/>
              </w:rPr>
              <w:sym w:font="Wingdings 2" w:char="F0A3"/>
            </w:r>
          </w:p>
        </w:tc>
      </w:tr>
    </w:tbl>
    <w:p w14:paraId="71832BDF" w14:textId="77777777" w:rsidR="00D23AFC" w:rsidRDefault="00D23AFC">
      <w:r>
        <w:br w:type="page"/>
      </w:r>
    </w:p>
    <w:tbl>
      <w:tblPr>
        <w:tblStyle w:val="TableGrid"/>
        <w:tblW w:w="9355" w:type="dxa"/>
        <w:tblLook w:val="04A0" w:firstRow="1" w:lastRow="0" w:firstColumn="1" w:lastColumn="0" w:noHBand="0" w:noVBand="1"/>
      </w:tblPr>
      <w:tblGrid>
        <w:gridCol w:w="641"/>
        <w:gridCol w:w="7814"/>
        <w:gridCol w:w="900"/>
      </w:tblGrid>
      <w:tr w:rsidR="003613B4" w:rsidRPr="006C189C" w14:paraId="471B3E21" w14:textId="3BA782A0" w:rsidTr="003613B4">
        <w:tc>
          <w:tcPr>
            <w:tcW w:w="641" w:type="dxa"/>
          </w:tcPr>
          <w:p w14:paraId="43F9C083" w14:textId="379BDD3D" w:rsidR="003613B4" w:rsidRPr="006C189C" w:rsidRDefault="00571081" w:rsidP="003613B4">
            <w:pPr>
              <w:spacing w:before="80" w:after="80"/>
              <w:jc w:val="right"/>
              <w:rPr>
                <w:rFonts w:ascii="Times New Roman" w:hAnsi="Times New Roman" w:cs="Times New Roman"/>
              </w:rPr>
            </w:pPr>
            <w:r>
              <w:rPr>
                <w:rFonts w:ascii="Times New Roman" w:hAnsi="Times New Roman" w:cs="Times New Roman"/>
              </w:rPr>
              <w:lastRenderedPageBreak/>
              <w:t>3.4</w:t>
            </w:r>
          </w:p>
        </w:tc>
        <w:tc>
          <w:tcPr>
            <w:tcW w:w="7814" w:type="dxa"/>
            <w:vAlign w:val="center"/>
          </w:tcPr>
          <w:p w14:paraId="5F5B2805" w14:textId="6AA89A8F" w:rsidR="003613B4" w:rsidRPr="006C189C" w:rsidRDefault="00571081" w:rsidP="00571081">
            <w:pPr>
              <w:pStyle w:val="Bullet1"/>
            </w:pPr>
            <w:r w:rsidRPr="00336576">
              <w:t xml:space="preserve">Conduct any relevant searches, including a company search for each corporate party and a detailed search (refer to item 3.5 of the </w:t>
            </w:r>
            <w:r w:rsidRPr="00336576">
              <w:rPr>
                <w:smallCaps/>
              </w:rPr>
              <w:t>asset purchase procedure (B-1)</w:t>
            </w:r>
            <w:r w:rsidRPr="00336576">
              <w:t xml:space="preserve"> checklist) where the company which is the subject of the agreement is already in business.</w:t>
            </w:r>
          </w:p>
        </w:tc>
        <w:tc>
          <w:tcPr>
            <w:tcW w:w="900" w:type="dxa"/>
            <w:vAlign w:val="center"/>
          </w:tcPr>
          <w:p w14:paraId="244AFA09" w14:textId="2EA558DC" w:rsidR="003613B4" w:rsidRDefault="00571081" w:rsidP="003613B4">
            <w:pPr>
              <w:pStyle w:val="Bullet4"/>
              <w:ind w:left="-104"/>
              <w:jc w:val="center"/>
            </w:pPr>
            <w:r w:rsidRPr="00437BB1">
              <w:rPr>
                <w:sz w:val="40"/>
                <w:szCs w:val="40"/>
              </w:rPr>
              <w:sym w:font="Wingdings 2" w:char="F0A3"/>
            </w:r>
          </w:p>
        </w:tc>
      </w:tr>
      <w:tr w:rsidR="003613B4" w:rsidRPr="006C189C" w14:paraId="6EBF3101" w14:textId="6B66F0CD" w:rsidTr="003613B4">
        <w:tc>
          <w:tcPr>
            <w:tcW w:w="641" w:type="dxa"/>
          </w:tcPr>
          <w:p w14:paraId="7B2B4A8E" w14:textId="1D445D16" w:rsidR="003613B4" w:rsidRPr="002A6052" w:rsidRDefault="00571081" w:rsidP="003613B4">
            <w:pPr>
              <w:spacing w:before="80" w:after="80"/>
              <w:jc w:val="right"/>
              <w:rPr>
                <w:rFonts w:ascii="Times New Roman" w:hAnsi="Times New Roman" w:cs="Times New Roman"/>
              </w:rPr>
            </w:pPr>
            <w:r>
              <w:rPr>
                <w:rFonts w:ascii="Times New Roman" w:hAnsi="Times New Roman" w:cs="Times New Roman"/>
              </w:rPr>
              <w:t>3.5</w:t>
            </w:r>
          </w:p>
        </w:tc>
        <w:tc>
          <w:tcPr>
            <w:tcW w:w="7814" w:type="dxa"/>
            <w:vAlign w:val="center"/>
          </w:tcPr>
          <w:p w14:paraId="46D8303B" w14:textId="52DF5250" w:rsidR="003613B4" w:rsidRPr="006C189C" w:rsidRDefault="00571081" w:rsidP="00571081">
            <w:pPr>
              <w:pStyle w:val="Bullet1"/>
            </w:pPr>
            <w:r w:rsidRPr="00DE1A21">
              <w:t xml:space="preserve">Consider legislation in other relevant jurisdictions (e.g., where the </w:t>
            </w:r>
            <w:r>
              <w:t xml:space="preserve">company or any corporate party carries on or </w:t>
            </w:r>
            <w:r w:rsidRPr="00DE1A21">
              <w:t>intends to carry on business</w:t>
            </w:r>
            <w:r>
              <w:t>)</w:t>
            </w:r>
            <w:r w:rsidRPr="00DE1A21">
              <w:t>.</w:t>
            </w:r>
          </w:p>
        </w:tc>
        <w:tc>
          <w:tcPr>
            <w:tcW w:w="900" w:type="dxa"/>
            <w:vAlign w:val="center"/>
          </w:tcPr>
          <w:p w14:paraId="6730D7E4" w14:textId="31092CC7" w:rsidR="003613B4" w:rsidRDefault="003613B4" w:rsidP="003613B4">
            <w:pPr>
              <w:pStyle w:val="Bullet1"/>
              <w:ind w:left="-104"/>
              <w:jc w:val="center"/>
            </w:pPr>
            <w:r w:rsidRPr="00437BB1">
              <w:rPr>
                <w:sz w:val="40"/>
                <w:szCs w:val="40"/>
              </w:rPr>
              <w:sym w:font="Wingdings 2" w:char="F0A3"/>
            </w:r>
          </w:p>
        </w:tc>
      </w:tr>
      <w:tr w:rsidR="003613B4" w:rsidRPr="006C189C" w14:paraId="3B335C8D" w14:textId="57D72390" w:rsidTr="003613B4">
        <w:tc>
          <w:tcPr>
            <w:tcW w:w="641" w:type="dxa"/>
          </w:tcPr>
          <w:p w14:paraId="37C7F0F2" w14:textId="0307FF6A" w:rsidR="003613B4" w:rsidRPr="00D960B3" w:rsidRDefault="00571081" w:rsidP="003613B4">
            <w:pPr>
              <w:spacing w:before="80" w:after="80"/>
              <w:jc w:val="right"/>
              <w:rPr>
                <w:rFonts w:ascii="Times New Roman" w:hAnsi="Times New Roman" w:cs="Times New Roman"/>
              </w:rPr>
            </w:pPr>
            <w:r>
              <w:rPr>
                <w:rFonts w:ascii="Times New Roman" w:hAnsi="Times New Roman" w:cs="Times New Roman"/>
              </w:rPr>
              <w:t>3.6</w:t>
            </w:r>
          </w:p>
        </w:tc>
        <w:tc>
          <w:tcPr>
            <w:tcW w:w="7814" w:type="dxa"/>
            <w:vAlign w:val="center"/>
          </w:tcPr>
          <w:p w14:paraId="0C7337E1" w14:textId="1C588F05" w:rsidR="003613B4" w:rsidRPr="006C189C" w:rsidRDefault="00571081" w:rsidP="00571081">
            <w:pPr>
              <w:pStyle w:val="Bullet1"/>
            </w:pPr>
            <w:r w:rsidRPr="00DD6C17">
              <w:t xml:space="preserve">Open a document file and retain successive drafts of the agreement. Open a separate </w:t>
            </w:r>
            <w:r>
              <w:t>sub-</w:t>
            </w:r>
            <w:r w:rsidRPr="00DD6C17">
              <w:t>file for each major document required in the</w:t>
            </w:r>
            <w:r>
              <w:t xml:space="preserve"> matter</w:t>
            </w:r>
            <w:r w:rsidRPr="00DD6C17">
              <w:t>.</w:t>
            </w:r>
          </w:p>
        </w:tc>
        <w:tc>
          <w:tcPr>
            <w:tcW w:w="900" w:type="dxa"/>
            <w:vAlign w:val="center"/>
          </w:tcPr>
          <w:p w14:paraId="737C2E11" w14:textId="184EB48F" w:rsidR="003613B4" w:rsidRDefault="00571081" w:rsidP="003613B4">
            <w:pPr>
              <w:pStyle w:val="Bullet2"/>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27B3DB07" w:rsidR="00EF1DBD" w:rsidRPr="0024237C" w:rsidRDefault="00571081"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4AD5BE2A" w:rsidR="00EF1DBD" w:rsidRPr="006C189C" w:rsidRDefault="00571081" w:rsidP="00EF1DBD">
            <w:pPr>
              <w:pStyle w:val="Heading1"/>
              <w:spacing w:before="80" w:after="80"/>
              <w:outlineLvl w:val="0"/>
            </w:pPr>
            <w:r w:rsidRPr="00336576">
              <w:t>DRAFTING THE AGREEMENT</w:t>
            </w:r>
          </w:p>
        </w:tc>
      </w:tr>
      <w:tr w:rsidR="003613B4" w:rsidRPr="006C189C" w14:paraId="48C14C86" w14:textId="53640E6E" w:rsidTr="003613B4">
        <w:tc>
          <w:tcPr>
            <w:tcW w:w="633" w:type="dxa"/>
          </w:tcPr>
          <w:p w14:paraId="58B5E43E" w14:textId="3AAE3E07" w:rsidR="003613B4" w:rsidRPr="006C189C" w:rsidRDefault="00571081"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40BD48B5" w:rsidR="003613B4" w:rsidRPr="006C189C" w:rsidRDefault="00571081" w:rsidP="00571081">
            <w:pPr>
              <w:pStyle w:val="Bullet1"/>
            </w:pPr>
            <w:r w:rsidRPr="00336576">
              <w:t xml:space="preserve">Prepare an outline of the agreement, indicating the clauses from your precedent file which will be included (see the </w:t>
            </w:r>
            <w:r w:rsidRPr="00336576">
              <w:rPr>
                <w:smallCaps/>
              </w:rPr>
              <w:t>shareholders’ agreement drafting (B-7)</w:t>
            </w:r>
            <w:r w:rsidRPr="00336576">
              <w:t xml:space="preserve"> checklist). Also prepare an outline of any other documents required, such as an employment contract.</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3D601BCF" w:rsidR="003613B4" w:rsidRPr="006C189C" w:rsidRDefault="00571081" w:rsidP="003613B4">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63B611B1" w14:textId="07734776" w:rsidR="003613B4" w:rsidRPr="006C189C" w:rsidRDefault="00571081" w:rsidP="00571081">
            <w:pPr>
              <w:pStyle w:val="Bullet1"/>
            </w:pPr>
            <w:r w:rsidRPr="00336576">
              <w:t>Prepare the first draft.</w:t>
            </w:r>
          </w:p>
        </w:tc>
        <w:tc>
          <w:tcPr>
            <w:tcW w:w="900" w:type="dxa"/>
            <w:vAlign w:val="center"/>
          </w:tcPr>
          <w:p w14:paraId="269C17BF" w14:textId="707C5915" w:rsidR="003613B4" w:rsidRPr="006C189C" w:rsidRDefault="004916DB" w:rsidP="003613B4">
            <w:pPr>
              <w:pStyle w:val="Bullet2"/>
              <w:ind w:left="-104"/>
              <w:jc w:val="center"/>
            </w:pPr>
            <w:r w:rsidRPr="00437BB1">
              <w:rPr>
                <w:sz w:val="40"/>
                <w:szCs w:val="40"/>
              </w:rPr>
              <w:sym w:font="Wingdings 2" w:char="F0A3"/>
            </w:r>
          </w:p>
        </w:tc>
      </w:tr>
      <w:tr w:rsidR="003613B4" w:rsidRPr="006C189C" w14:paraId="545DCC58" w14:textId="4D47C790" w:rsidTr="003613B4">
        <w:tc>
          <w:tcPr>
            <w:tcW w:w="633" w:type="dxa"/>
          </w:tcPr>
          <w:p w14:paraId="36BB51BF" w14:textId="226DC593" w:rsidR="003613B4" w:rsidRPr="006C189C" w:rsidRDefault="00571081"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4B3BE8C6" w14:textId="21198BF2" w:rsidR="003613B4" w:rsidRPr="006C189C" w:rsidRDefault="00571081" w:rsidP="00571081">
            <w:pPr>
              <w:pStyle w:val="Bullet1"/>
            </w:pPr>
            <w:r w:rsidRPr="00336576">
              <w:t>Review the first draft, checking each segment to ensure that it achieves the client’s objectives, and checking the document as a whole to ensure that it is internally consistent. Make necessary corrections and prepare the second draft.</w:t>
            </w:r>
          </w:p>
        </w:tc>
        <w:tc>
          <w:tcPr>
            <w:tcW w:w="900" w:type="dxa"/>
            <w:vAlign w:val="center"/>
          </w:tcPr>
          <w:p w14:paraId="55BFBC99" w14:textId="6D72634D" w:rsidR="003613B4" w:rsidRDefault="004916DB" w:rsidP="003613B4">
            <w:pPr>
              <w:pStyle w:val="Bullet3"/>
              <w:ind w:left="-104"/>
              <w:jc w:val="center"/>
            </w:pPr>
            <w:r w:rsidRPr="00437BB1">
              <w:rPr>
                <w:sz w:val="40"/>
                <w:szCs w:val="40"/>
              </w:rPr>
              <w:sym w:font="Wingdings 2" w:char="F0A3"/>
            </w:r>
          </w:p>
        </w:tc>
      </w:tr>
      <w:tr w:rsidR="003613B4" w:rsidRPr="006C189C" w14:paraId="5B793498" w14:textId="37B318E4" w:rsidTr="003613B4">
        <w:tc>
          <w:tcPr>
            <w:tcW w:w="633" w:type="dxa"/>
          </w:tcPr>
          <w:p w14:paraId="2D7532B2" w14:textId="53A214B8" w:rsidR="003613B4" w:rsidRPr="006C189C" w:rsidRDefault="00571081"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0426B1A2" w14:textId="597C5E8C" w:rsidR="003613B4" w:rsidRPr="006C189C" w:rsidRDefault="00571081" w:rsidP="00571081">
            <w:pPr>
              <w:pStyle w:val="Bullet1"/>
            </w:pPr>
            <w:r w:rsidRPr="00336576">
              <w:t>Go over the next draft(s) with the client or send to the client with a request that the client review it and note any changes or questions. Discuss changes or questions.</w:t>
            </w:r>
          </w:p>
        </w:tc>
        <w:tc>
          <w:tcPr>
            <w:tcW w:w="900" w:type="dxa"/>
            <w:vAlign w:val="center"/>
          </w:tcPr>
          <w:p w14:paraId="6CCEBE77" w14:textId="585877BC" w:rsidR="003613B4" w:rsidRDefault="004916DB" w:rsidP="003613B4">
            <w:pPr>
              <w:pStyle w:val="Bullet4"/>
              <w:ind w:left="-104"/>
              <w:jc w:val="center"/>
            </w:pPr>
            <w:r w:rsidRPr="00437BB1">
              <w:rPr>
                <w:sz w:val="40"/>
                <w:szCs w:val="40"/>
              </w:rPr>
              <w:sym w:font="Wingdings 2" w:char="F0A3"/>
            </w:r>
          </w:p>
        </w:tc>
      </w:tr>
      <w:tr w:rsidR="003613B4" w:rsidRPr="006C189C" w14:paraId="60FAED8C" w14:textId="526DBAB0" w:rsidTr="003613B4">
        <w:tc>
          <w:tcPr>
            <w:tcW w:w="633" w:type="dxa"/>
          </w:tcPr>
          <w:p w14:paraId="53E39385" w14:textId="6F453817" w:rsidR="003613B4" w:rsidRPr="002A6052" w:rsidRDefault="00571081" w:rsidP="003613B4">
            <w:pPr>
              <w:spacing w:before="80" w:after="80"/>
              <w:jc w:val="right"/>
              <w:rPr>
                <w:rFonts w:ascii="Times New Roman" w:hAnsi="Times New Roman" w:cs="Times New Roman"/>
              </w:rPr>
            </w:pPr>
            <w:r>
              <w:rPr>
                <w:rFonts w:ascii="Times New Roman" w:hAnsi="Times New Roman" w:cs="Times New Roman"/>
              </w:rPr>
              <w:t>4.5</w:t>
            </w:r>
          </w:p>
        </w:tc>
        <w:tc>
          <w:tcPr>
            <w:tcW w:w="7822" w:type="dxa"/>
            <w:vAlign w:val="center"/>
          </w:tcPr>
          <w:p w14:paraId="5C9F2929" w14:textId="110E4FE8" w:rsidR="003613B4" w:rsidRPr="006C189C" w:rsidRDefault="001F305C" w:rsidP="00571081">
            <w:pPr>
              <w:pStyle w:val="Bullet1"/>
            </w:pPr>
            <w:r w:rsidRPr="00D6291D">
              <w:rPr>
                <w:spacing w:val="-4"/>
              </w:rPr>
              <w:t>Make any changes required to the second draft and send copies to the other parties or their solicitors for comment. Review any alterations with the client.</w:t>
            </w:r>
          </w:p>
        </w:tc>
        <w:tc>
          <w:tcPr>
            <w:tcW w:w="900" w:type="dxa"/>
            <w:vAlign w:val="center"/>
          </w:tcPr>
          <w:p w14:paraId="569FDBA9" w14:textId="75F3A7D8" w:rsidR="003613B4" w:rsidRDefault="003613B4" w:rsidP="003613B4">
            <w:pPr>
              <w:pStyle w:val="Bullet1"/>
              <w:ind w:left="-104"/>
              <w:jc w:val="center"/>
            </w:pPr>
            <w:r w:rsidRPr="00437BB1">
              <w:rPr>
                <w:sz w:val="40"/>
                <w:szCs w:val="40"/>
              </w:rPr>
              <w:sym w:font="Wingdings 2" w:char="F0A3"/>
            </w:r>
          </w:p>
        </w:tc>
      </w:tr>
      <w:tr w:rsidR="003613B4" w:rsidRPr="006C189C" w14:paraId="70FF98D5" w14:textId="4DBAC78C" w:rsidTr="003613B4">
        <w:tc>
          <w:tcPr>
            <w:tcW w:w="633" w:type="dxa"/>
          </w:tcPr>
          <w:p w14:paraId="15780408" w14:textId="002CFF29" w:rsidR="003613B4" w:rsidRPr="00D960B3" w:rsidRDefault="00571081" w:rsidP="003613B4">
            <w:pPr>
              <w:spacing w:before="80" w:after="80"/>
              <w:jc w:val="right"/>
              <w:rPr>
                <w:rFonts w:ascii="Times New Roman" w:hAnsi="Times New Roman" w:cs="Times New Roman"/>
              </w:rPr>
            </w:pPr>
            <w:r>
              <w:rPr>
                <w:rFonts w:ascii="Times New Roman" w:hAnsi="Times New Roman" w:cs="Times New Roman"/>
              </w:rPr>
              <w:t>4.6</w:t>
            </w:r>
          </w:p>
        </w:tc>
        <w:tc>
          <w:tcPr>
            <w:tcW w:w="7822" w:type="dxa"/>
            <w:vAlign w:val="center"/>
          </w:tcPr>
          <w:p w14:paraId="383F5729" w14:textId="15A44DA6" w:rsidR="003613B4" w:rsidRPr="006C189C" w:rsidRDefault="001F305C" w:rsidP="00571081">
            <w:pPr>
              <w:pStyle w:val="Bullet1"/>
            </w:pPr>
            <w:r w:rsidRPr="00336576">
              <w:t>After all drafts are reviewed and finalized, prepare the final agreement (and employment contract) and arrange for signing.</w:t>
            </w:r>
          </w:p>
        </w:tc>
        <w:tc>
          <w:tcPr>
            <w:tcW w:w="900" w:type="dxa"/>
            <w:vAlign w:val="center"/>
          </w:tcPr>
          <w:p w14:paraId="118627F2" w14:textId="54F63D63" w:rsidR="003613B4" w:rsidRDefault="004916DB" w:rsidP="003613B4">
            <w:pPr>
              <w:pStyle w:val="Bullet2"/>
              <w:ind w:left="-104"/>
              <w:jc w:val="center"/>
            </w:pPr>
            <w:r w:rsidRPr="00437BB1">
              <w:rPr>
                <w:sz w:val="40"/>
                <w:szCs w:val="40"/>
              </w:rPr>
              <w:sym w:font="Wingdings 2" w:char="F0A3"/>
            </w:r>
          </w:p>
        </w:tc>
      </w:tr>
      <w:tr w:rsidR="003613B4" w:rsidRPr="006C189C" w14:paraId="19AC1995" w14:textId="62B71979" w:rsidTr="003613B4">
        <w:tc>
          <w:tcPr>
            <w:tcW w:w="633" w:type="dxa"/>
          </w:tcPr>
          <w:p w14:paraId="18971486" w14:textId="0480FFE4" w:rsidR="003613B4" w:rsidRPr="006C189C" w:rsidRDefault="00571081" w:rsidP="003613B4">
            <w:pPr>
              <w:spacing w:before="80" w:after="80"/>
              <w:jc w:val="right"/>
              <w:rPr>
                <w:rFonts w:ascii="Times New Roman" w:hAnsi="Times New Roman" w:cs="Times New Roman"/>
              </w:rPr>
            </w:pPr>
            <w:r>
              <w:rPr>
                <w:rFonts w:ascii="Times New Roman" w:hAnsi="Times New Roman" w:cs="Times New Roman"/>
              </w:rPr>
              <w:t>4.7</w:t>
            </w:r>
          </w:p>
        </w:tc>
        <w:tc>
          <w:tcPr>
            <w:tcW w:w="7822" w:type="dxa"/>
            <w:vAlign w:val="center"/>
          </w:tcPr>
          <w:p w14:paraId="76FB16F1" w14:textId="10518D48" w:rsidR="003613B4" w:rsidRPr="006C189C" w:rsidRDefault="001F305C" w:rsidP="00571081">
            <w:pPr>
              <w:pStyle w:val="Bullet1"/>
            </w:pPr>
            <w:r w:rsidRPr="00336576">
              <w:t xml:space="preserve">Prepare and execute resolutions of the directors of the company </w:t>
            </w:r>
            <w:r>
              <w:t xml:space="preserve">(and, if your client is a corporate shareholder, your client) </w:t>
            </w:r>
            <w:r w:rsidRPr="00336576">
              <w:t>approving the agreement and authorizing a director or officer to execute and deliver the agreement on behalf of the company</w:t>
            </w:r>
            <w:r>
              <w:t xml:space="preserve"> (or your client, as the case may be)</w:t>
            </w:r>
            <w:r w:rsidRPr="00336576">
              <w:t>.</w:t>
            </w:r>
          </w:p>
        </w:tc>
        <w:tc>
          <w:tcPr>
            <w:tcW w:w="900" w:type="dxa"/>
            <w:vAlign w:val="center"/>
          </w:tcPr>
          <w:p w14:paraId="25591764" w14:textId="059DF3DB" w:rsidR="003613B4" w:rsidRDefault="004916DB" w:rsidP="003613B4">
            <w:pPr>
              <w:pStyle w:val="Bullet3"/>
              <w:ind w:left="-104"/>
              <w:jc w:val="center"/>
            </w:pPr>
            <w:r w:rsidRPr="00437BB1">
              <w:rPr>
                <w:sz w:val="40"/>
                <w:szCs w:val="40"/>
              </w:rPr>
              <w:sym w:font="Wingdings 2" w:char="F0A3"/>
            </w:r>
          </w:p>
        </w:tc>
      </w:tr>
      <w:tr w:rsidR="003613B4" w:rsidRPr="006C189C" w14:paraId="35334C6C" w14:textId="65E32866" w:rsidTr="003613B4">
        <w:tc>
          <w:tcPr>
            <w:tcW w:w="633" w:type="dxa"/>
          </w:tcPr>
          <w:p w14:paraId="7A5E30AF" w14:textId="46693F3A" w:rsidR="003613B4" w:rsidRPr="006C189C" w:rsidRDefault="00571081" w:rsidP="003613B4">
            <w:pPr>
              <w:spacing w:before="80" w:after="80"/>
              <w:jc w:val="right"/>
              <w:rPr>
                <w:rFonts w:ascii="Times New Roman" w:hAnsi="Times New Roman" w:cs="Times New Roman"/>
              </w:rPr>
            </w:pPr>
            <w:r>
              <w:rPr>
                <w:rFonts w:ascii="Times New Roman" w:hAnsi="Times New Roman" w:cs="Times New Roman"/>
              </w:rPr>
              <w:t>4.8</w:t>
            </w:r>
          </w:p>
        </w:tc>
        <w:tc>
          <w:tcPr>
            <w:tcW w:w="7822" w:type="dxa"/>
            <w:vAlign w:val="center"/>
          </w:tcPr>
          <w:p w14:paraId="0A7E9553" w14:textId="67E3A87F" w:rsidR="003613B4" w:rsidRPr="006C189C" w:rsidRDefault="001F305C" w:rsidP="00571081">
            <w:pPr>
              <w:pStyle w:val="Bullet1"/>
            </w:pPr>
            <w:r w:rsidRPr="00336576">
              <w:t>Ensure that each party receives an executed copy of the agreement. Arrange for the company’s copy to be filed in its minute book in a section not accessible to the public.</w:t>
            </w:r>
          </w:p>
        </w:tc>
        <w:tc>
          <w:tcPr>
            <w:tcW w:w="900" w:type="dxa"/>
            <w:vAlign w:val="center"/>
          </w:tcPr>
          <w:p w14:paraId="5691BF6C" w14:textId="3DED4CF1" w:rsidR="003613B4" w:rsidRDefault="004916DB" w:rsidP="003613B4">
            <w:pPr>
              <w:pStyle w:val="Bullet4"/>
              <w:ind w:left="-104"/>
              <w:jc w:val="center"/>
            </w:pPr>
            <w:r w:rsidRPr="00437BB1">
              <w:rPr>
                <w:sz w:val="40"/>
                <w:szCs w:val="40"/>
              </w:rPr>
              <w:sym w:font="Wingdings 2" w:char="F0A3"/>
            </w:r>
          </w:p>
        </w:tc>
      </w:tr>
      <w:tr w:rsidR="001F305C" w:rsidRPr="006C189C" w14:paraId="36412C57" w14:textId="77777777" w:rsidTr="003613B4">
        <w:tc>
          <w:tcPr>
            <w:tcW w:w="633" w:type="dxa"/>
          </w:tcPr>
          <w:p w14:paraId="4838EEA4" w14:textId="64056198" w:rsidR="001F305C" w:rsidRDefault="001F305C" w:rsidP="003613B4">
            <w:pPr>
              <w:spacing w:before="80" w:after="80"/>
              <w:jc w:val="right"/>
              <w:rPr>
                <w:rFonts w:ascii="Times New Roman" w:hAnsi="Times New Roman" w:cs="Times New Roman"/>
              </w:rPr>
            </w:pPr>
            <w:r>
              <w:rPr>
                <w:rFonts w:ascii="Times New Roman" w:hAnsi="Times New Roman" w:cs="Times New Roman"/>
              </w:rPr>
              <w:t>4.9</w:t>
            </w:r>
          </w:p>
        </w:tc>
        <w:tc>
          <w:tcPr>
            <w:tcW w:w="7822" w:type="dxa"/>
            <w:vAlign w:val="center"/>
          </w:tcPr>
          <w:p w14:paraId="4B27E3CB" w14:textId="59068FB5" w:rsidR="001F305C" w:rsidRPr="00336576" w:rsidRDefault="001F305C" w:rsidP="00571081">
            <w:pPr>
              <w:pStyle w:val="Bullet1"/>
            </w:pPr>
            <w:r w:rsidRPr="00336576">
              <w:t>Place any required legends on share certificates.</w:t>
            </w:r>
          </w:p>
        </w:tc>
        <w:tc>
          <w:tcPr>
            <w:tcW w:w="900" w:type="dxa"/>
            <w:vAlign w:val="center"/>
          </w:tcPr>
          <w:p w14:paraId="545AB0E5" w14:textId="53AD8C1F" w:rsidR="001F305C" w:rsidRDefault="004916DB" w:rsidP="003613B4">
            <w:pPr>
              <w:pStyle w:val="Bullet4"/>
              <w:ind w:left="-104"/>
              <w:jc w:val="center"/>
            </w:pPr>
            <w:r w:rsidRPr="00437BB1">
              <w:rPr>
                <w:sz w:val="40"/>
                <w:szCs w:val="40"/>
              </w:rPr>
              <w:sym w:font="Wingdings 2" w:char="F0A3"/>
            </w:r>
          </w:p>
        </w:tc>
      </w:tr>
    </w:tbl>
    <w:p w14:paraId="0C0798B7" w14:textId="77777777" w:rsidR="0024237C" w:rsidRDefault="0024237C" w:rsidP="00A8366A">
      <w:pPr>
        <w:pStyle w:val="Bullet3"/>
      </w:pPr>
    </w:p>
    <w:tbl>
      <w:tblPr>
        <w:tblStyle w:val="TableGrid"/>
        <w:tblW w:w="9355" w:type="dxa"/>
        <w:tblLook w:val="04A0" w:firstRow="1" w:lastRow="0" w:firstColumn="1" w:lastColumn="0" w:noHBand="0" w:noVBand="1"/>
      </w:tblPr>
      <w:tblGrid>
        <w:gridCol w:w="633"/>
        <w:gridCol w:w="7822"/>
        <w:gridCol w:w="900"/>
      </w:tblGrid>
      <w:tr w:rsidR="001F305C" w:rsidRPr="006C189C" w14:paraId="29BE2118" w14:textId="77777777" w:rsidTr="003A3139">
        <w:tc>
          <w:tcPr>
            <w:tcW w:w="633" w:type="dxa"/>
            <w:shd w:val="clear" w:color="auto" w:fill="D9E2F3" w:themeFill="accent1" w:themeFillTint="33"/>
          </w:tcPr>
          <w:p w14:paraId="71E59320" w14:textId="3202AE74" w:rsidR="001F305C" w:rsidRPr="0024237C" w:rsidRDefault="001F305C" w:rsidP="003A3139">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0F4A2019" w14:textId="1FFC2597" w:rsidR="001F305C" w:rsidRPr="006C189C" w:rsidRDefault="001F305C" w:rsidP="003A3139">
            <w:pPr>
              <w:pStyle w:val="Heading1"/>
              <w:spacing w:before="80" w:after="80"/>
              <w:outlineLvl w:val="0"/>
            </w:pPr>
            <w:r w:rsidRPr="00336576">
              <w:t>CLOSING THE FILE</w:t>
            </w:r>
          </w:p>
        </w:tc>
      </w:tr>
      <w:tr w:rsidR="001F305C" w:rsidRPr="006C189C" w14:paraId="353F13E7" w14:textId="77777777" w:rsidTr="003A3139">
        <w:tc>
          <w:tcPr>
            <w:tcW w:w="633" w:type="dxa"/>
          </w:tcPr>
          <w:p w14:paraId="7E087087" w14:textId="26BE9BFC" w:rsidR="001F305C" w:rsidRPr="006C189C" w:rsidRDefault="001F305C" w:rsidP="003A3139">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24D1F0F1" w14:textId="72131A3B" w:rsidR="001F305C" w:rsidRPr="006C189C" w:rsidRDefault="001F305C" w:rsidP="003A3139">
            <w:pPr>
              <w:pStyle w:val="Bullet1"/>
            </w:pPr>
            <w:r w:rsidRPr="0059219D">
              <w:t xml:space="preserve">Prepare a reporting letter and account as soon as practicable after closing. </w:t>
            </w:r>
            <w:r w:rsidRPr="00336576">
              <w:t xml:space="preserve">Advise that changes in circumstances, legislation (e.g., tax law), insurance requirements, valuations (if applicable), etc. make it essential that the agreement be reviewed from time to time. Ascertain whether the client wishes </w:t>
            </w:r>
            <w:r>
              <w:t>to meet with</w:t>
            </w:r>
            <w:r w:rsidRPr="00336576">
              <w:t xml:space="preserve"> you for this purpose from time to time and, if so, make entries in your diary and “BF” systems.</w:t>
            </w:r>
          </w:p>
        </w:tc>
        <w:tc>
          <w:tcPr>
            <w:tcW w:w="900" w:type="dxa"/>
            <w:vAlign w:val="center"/>
          </w:tcPr>
          <w:p w14:paraId="251517CF" w14:textId="77777777" w:rsidR="001F305C" w:rsidRPr="006C189C" w:rsidRDefault="001F305C" w:rsidP="003A3139">
            <w:pPr>
              <w:pStyle w:val="Bullet1"/>
              <w:ind w:left="-104"/>
              <w:jc w:val="center"/>
            </w:pPr>
            <w:r w:rsidRPr="00437BB1">
              <w:rPr>
                <w:sz w:val="40"/>
                <w:szCs w:val="40"/>
              </w:rPr>
              <w:sym w:font="Wingdings 2" w:char="F0A3"/>
            </w:r>
          </w:p>
        </w:tc>
      </w:tr>
      <w:tr w:rsidR="001F305C" w:rsidRPr="006C189C" w14:paraId="11C0800C" w14:textId="77777777" w:rsidTr="003A3139">
        <w:tc>
          <w:tcPr>
            <w:tcW w:w="633" w:type="dxa"/>
          </w:tcPr>
          <w:p w14:paraId="4FEB4522" w14:textId="4DC25AF9" w:rsidR="001F305C" w:rsidRPr="006C189C" w:rsidRDefault="001F305C" w:rsidP="003A3139">
            <w:pPr>
              <w:spacing w:before="80" w:after="80"/>
              <w:jc w:val="right"/>
              <w:rPr>
                <w:rFonts w:ascii="Times New Roman" w:hAnsi="Times New Roman" w:cs="Times New Roman"/>
              </w:rPr>
            </w:pPr>
            <w:r>
              <w:rPr>
                <w:rFonts w:ascii="Times New Roman" w:hAnsi="Times New Roman" w:cs="Times New Roman"/>
              </w:rPr>
              <w:lastRenderedPageBreak/>
              <w:t>5.2</w:t>
            </w:r>
          </w:p>
        </w:tc>
        <w:tc>
          <w:tcPr>
            <w:tcW w:w="7822" w:type="dxa"/>
            <w:vAlign w:val="center"/>
          </w:tcPr>
          <w:p w14:paraId="0FC7F662" w14:textId="1E75A2D6" w:rsidR="001F305C" w:rsidRPr="006C189C" w:rsidRDefault="001F305C" w:rsidP="003A3139">
            <w:pPr>
              <w:pStyle w:val="Bullet1"/>
            </w:pPr>
            <w:r w:rsidRPr="00336576">
              <w:t>Place a copy of the agreement in the company’s minute book.</w:t>
            </w:r>
          </w:p>
        </w:tc>
        <w:tc>
          <w:tcPr>
            <w:tcW w:w="900" w:type="dxa"/>
            <w:vAlign w:val="center"/>
          </w:tcPr>
          <w:p w14:paraId="0543B697" w14:textId="43E5618B" w:rsidR="001F305C" w:rsidRPr="006C189C" w:rsidRDefault="004916DB" w:rsidP="003A3139">
            <w:pPr>
              <w:pStyle w:val="Bullet2"/>
              <w:ind w:left="-104"/>
              <w:jc w:val="center"/>
            </w:pPr>
            <w:r w:rsidRPr="00437BB1">
              <w:rPr>
                <w:sz w:val="40"/>
                <w:szCs w:val="40"/>
              </w:rPr>
              <w:sym w:font="Wingdings 2" w:char="F0A3"/>
            </w:r>
          </w:p>
        </w:tc>
      </w:tr>
      <w:tr w:rsidR="001F305C" w:rsidRPr="006C189C" w14:paraId="368BCD9F" w14:textId="77777777" w:rsidTr="003A3139">
        <w:tc>
          <w:tcPr>
            <w:tcW w:w="633" w:type="dxa"/>
          </w:tcPr>
          <w:p w14:paraId="20FD00E3" w14:textId="368CBA14" w:rsidR="001F305C" w:rsidRPr="006C189C" w:rsidRDefault="001F305C" w:rsidP="003A3139">
            <w:pPr>
              <w:spacing w:before="80" w:after="80"/>
              <w:jc w:val="right"/>
              <w:rPr>
                <w:rFonts w:ascii="Times New Roman" w:hAnsi="Times New Roman" w:cs="Times New Roman"/>
              </w:rPr>
            </w:pPr>
            <w:r>
              <w:rPr>
                <w:rFonts w:ascii="Times New Roman" w:hAnsi="Times New Roman" w:cs="Times New Roman"/>
              </w:rPr>
              <w:t>5.3</w:t>
            </w:r>
          </w:p>
        </w:tc>
        <w:tc>
          <w:tcPr>
            <w:tcW w:w="7822" w:type="dxa"/>
            <w:vAlign w:val="center"/>
          </w:tcPr>
          <w:p w14:paraId="2517C49B" w14:textId="469CE1BA" w:rsidR="001F305C" w:rsidRPr="006C189C" w:rsidRDefault="001F305C" w:rsidP="003A3139">
            <w:pPr>
              <w:pStyle w:val="Bullet1"/>
            </w:pPr>
            <w:r w:rsidRPr="00336576">
              <w:t>If the agreement requires that the share certificates have a legend referring to the agreement, ensure that the legend is placed on the certificates.</w:t>
            </w:r>
          </w:p>
        </w:tc>
        <w:tc>
          <w:tcPr>
            <w:tcW w:w="900" w:type="dxa"/>
            <w:vAlign w:val="center"/>
          </w:tcPr>
          <w:p w14:paraId="1BDE345E" w14:textId="51DBFAFF" w:rsidR="001F305C" w:rsidRDefault="004916DB" w:rsidP="003A3139">
            <w:pPr>
              <w:pStyle w:val="Bullet3"/>
              <w:ind w:left="-104"/>
              <w:jc w:val="center"/>
            </w:pPr>
            <w:r w:rsidRPr="00437BB1">
              <w:rPr>
                <w:sz w:val="40"/>
                <w:szCs w:val="40"/>
              </w:rPr>
              <w:sym w:font="Wingdings 2" w:char="F0A3"/>
            </w:r>
          </w:p>
        </w:tc>
      </w:tr>
      <w:tr w:rsidR="001F305C" w:rsidRPr="006C189C" w14:paraId="6D7FA8E2" w14:textId="77777777" w:rsidTr="003A3139">
        <w:tc>
          <w:tcPr>
            <w:tcW w:w="633" w:type="dxa"/>
          </w:tcPr>
          <w:p w14:paraId="2C5C0D94" w14:textId="77E96CCC" w:rsidR="001F305C" w:rsidRPr="006C189C" w:rsidRDefault="001F305C" w:rsidP="003A3139">
            <w:pPr>
              <w:spacing w:before="80" w:after="80"/>
              <w:jc w:val="right"/>
              <w:rPr>
                <w:rFonts w:ascii="Times New Roman" w:hAnsi="Times New Roman" w:cs="Times New Roman"/>
              </w:rPr>
            </w:pPr>
            <w:r>
              <w:rPr>
                <w:rFonts w:ascii="Times New Roman" w:hAnsi="Times New Roman" w:cs="Times New Roman"/>
              </w:rPr>
              <w:t>5.4</w:t>
            </w:r>
          </w:p>
        </w:tc>
        <w:tc>
          <w:tcPr>
            <w:tcW w:w="7822" w:type="dxa"/>
            <w:vAlign w:val="center"/>
          </w:tcPr>
          <w:p w14:paraId="62819ECF" w14:textId="0135DDD4" w:rsidR="001F305C" w:rsidRPr="006C189C" w:rsidRDefault="001F305C" w:rsidP="003A3139">
            <w:pPr>
              <w:pStyle w:val="Bullet1"/>
            </w:pPr>
            <w:r w:rsidRPr="0090109F">
              <w:t>Close the file. See</w:t>
            </w:r>
            <w:r>
              <w:t xml:space="preserve"> the</w:t>
            </w:r>
            <w:r w:rsidRPr="0090109F">
              <w:t xml:space="preserve"> </w:t>
            </w:r>
            <w:r>
              <w:rPr>
                <w:bCs/>
                <w:smallCaps/>
              </w:rPr>
              <w:t xml:space="preserve">client </w:t>
            </w:r>
            <w:r w:rsidRPr="00944672">
              <w:rPr>
                <w:smallCaps/>
              </w:rPr>
              <w:t xml:space="preserve">file opening </w:t>
            </w:r>
            <w:r>
              <w:rPr>
                <w:smallCaps/>
              </w:rPr>
              <w:t>and</w:t>
            </w:r>
            <w:r w:rsidRPr="00944672">
              <w:rPr>
                <w:smallCaps/>
              </w:rPr>
              <w:t xml:space="preserve"> closing</w:t>
            </w:r>
            <w:r w:rsidRPr="0090109F">
              <w:t xml:space="preserve"> (A-2) checklist.</w:t>
            </w:r>
          </w:p>
        </w:tc>
        <w:tc>
          <w:tcPr>
            <w:tcW w:w="900" w:type="dxa"/>
            <w:vAlign w:val="center"/>
          </w:tcPr>
          <w:p w14:paraId="21B6664F" w14:textId="7F38D8E2" w:rsidR="001F305C" w:rsidRDefault="004916DB" w:rsidP="003A3139">
            <w:pPr>
              <w:pStyle w:val="Bullet4"/>
              <w:ind w:left="-104"/>
              <w:jc w:val="center"/>
            </w:pPr>
            <w:r w:rsidRPr="00437BB1">
              <w:rPr>
                <w:sz w:val="40"/>
                <w:szCs w:val="40"/>
              </w:rPr>
              <w:sym w:font="Wingdings 2" w:char="F0A3"/>
            </w:r>
          </w:p>
        </w:tc>
      </w:tr>
    </w:tbl>
    <w:p w14:paraId="2F4E8232" w14:textId="77777777" w:rsidR="001F305C" w:rsidRPr="001F305C" w:rsidRDefault="001F305C" w:rsidP="001F305C"/>
    <w:sectPr w:rsidR="001F305C" w:rsidRPr="001F305C" w:rsidSect="00644A0B">
      <w:headerReference w:type="even" r:id="rId15"/>
      <w:headerReference w:type="default" r:id="rId16"/>
      <w:footerReference w:type="even" r:id="rId17"/>
      <w:footerReference w:type="default" r:id="rId18"/>
      <w:footerReference w:type="first" r:id="rId19"/>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E460" w14:textId="77777777" w:rsidR="000D594B" w:rsidRDefault="000D594B" w:rsidP="001F4715">
      <w:pPr>
        <w:spacing w:after="0"/>
      </w:pPr>
      <w:r>
        <w:separator/>
      </w:r>
    </w:p>
  </w:endnote>
  <w:endnote w:type="continuationSeparator" w:id="0">
    <w:p w14:paraId="57B440E7" w14:textId="77777777" w:rsidR="000D594B" w:rsidRDefault="000D594B"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14F49833" w:rsidR="004A3AAF" w:rsidRPr="007A7B9F" w:rsidRDefault="003E3FED">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E63554">
          <w:rPr>
            <w:rFonts w:ascii="Times New Roman" w:hAnsi="Times New Roman" w:cs="Times New Roman"/>
          </w:rPr>
          <w:t>B</w:t>
        </w:r>
        <w:r w:rsidR="007A7B9F" w:rsidRPr="007A7B9F">
          <w:rPr>
            <w:rFonts w:ascii="Times New Roman" w:hAnsi="Times New Roman" w:cs="Times New Roman"/>
          </w:rPr>
          <w:t>-</w:t>
        </w:r>
        <w:r w:rsidR="00E63554">
          <w:rPr>
            <w:rFonts w:ascii="Times New Roman" w:hAnsi="Times New Roman" w:cs="Times New Roman"/>
          </w:rPr>
          <w:t>6</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6AD5095E"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E63554">
          <w:rPr>
            <w:rFonts w:ascii="Times New Roman" w:hAnsi="Times New Roman" w:cs="Times New Roman"/>
          </w:rPr>
          <w:t>B</w:t>
        </w:r>
        <w:r w:rsidR="007A7B9F" w:rsidRPr="007A7B9F">
          <w:rPr>
            <w:rFonts w:ascii="Times New Roman" w:hAnsi="Times New Roman" w:cs="Times New Roman"/>
          </w:rPr>
          <w:t>-</w:t>
        </w:r>
        <w:r w:rsidR="00E63554">
          <w:rPr>
            <w:rFonts w:ascii="Times New Roman" w:hAnsi="Times New Roman" w:cs="Times New Roman"/>
          </w:rPr>
          <w:t>6</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D668" w14:textId="77777777" w:rsidR="00E30706" w:rsidRDefault="00E30706">
    <w:pPr>
      <w:tabs>
        <w:tab w:val="center" w:pos="4680"/>
        <w:tab w:val="right" w:pos="9360"/>
      </w:tabs>
      <w:spacing w:after="0"/>
    </w:pPr>
    <w:bookmarkStart w:id="4" w:name="eDOCS_Footer_FirstPage"/>
    <w:r>
      <w:rPr>
        <w:rFonts w:ascii="Calibri" w:hAnsi="Calibri" w:cs="Calibri"/>
      </w:rPr>
      <w:t>DM4552136</w:t>
    </w:r>
  </w:p>
  <w:bookmarkEnd w:id="4"/>
  <w:p w14:paraId="2B322D8C" w14:textId="7DC8E843" w:rsidR="00354CBA" w:rsidDel="00E30706" w:rsidRDefault="00354CBA">
    <w:pPr>
      <w:tabs>
        <w:tab w:val="center" w:pos="4680"/>
        <w:tab w:val="right" w:pos="9360"/>
      </w:tabs>
      <w:spacing w:after="0"/>
      <w:rPr>
        <w:ins w:id="5" w:author="Author"/>
        <w:del w:id="6" w:author="Author"/>
      </w:rPr>
    </w:pPr>
    <w:ins w:id="7" w:author="Author">
      <w:del w:id="8" w:author="Author">
        <w:r w:rsidDel="00E30706">
          <w:rPr>
            <w:rFonts w:ascii="Calibri" w:hAnsi="Calibri" w:cs="Calibri"/>
          </w:rPr>
          <w:delText>DM4552136</w:delText>
        </w:r>
      </w:del>
    </w:ins>
  </w:p>
  <w:p w14:paraId="19FB20EF" w14:textId="5ED2F465" w:rsidR="00A766F8" w:rsidDel="003E4C65" w:rsidRDefault="00A766F8">
    <w:pPr>
      <w:tabs>
        <w:tab w:val="center" w:pos="4680"/>
        <w:tab w:val="right" w:pos="9360"/>
      </w:tabs>
      <w:spacing w:after="0"/>
      <w:rPr>
        <w:ins w:id="9" w:author="Author"/>
        <w:del w:id="10" w:author="Author"/>
      </w:rPr>
    </w:pPr>
    <w:ins w:id="11" w:author="Author">
      <w:del w:id="12" w:author="Author">
        <w:r w:rsidDel="003E4C65">
          <w:rPr>
            <w:rFonts w:ascii="Calibri" w:hAnsi="Calibri" w:cs="Calibri"/>
          </w:rPr>
          <w:delText>DM4552136</w:delText>
        </w:r>
      </w:del>
    </w:ins>
  </w:p>
  <w:p w14:paraId="5E08E2F5" w14:textId="3565B5C5" w:rsidR="00A766F8" w:rsidDel="00A766F8" w:rsidRDefault="00A766F8">
    <w:pPr>
      <w:pStyle w:val="Footer"/>
      <w:rPr>
        <w:del w:id="13"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A574" w14:textId="77777777" w:rsidR="000D594B" w:rsidRDefault="000D594B" w:rsidP="001F4715">
      <w:pPr>
        <w:spacing w:after="0"/>
      </w:pPr>
      <w:r>
        <w:separator/>
      </w:r>
    </w:p>
  </w:footnote>
  <w:footnote w:type="continuationSeparator" w:id="0">
    <w:p w14:paraId="658BE21E" w14:textId="77777777" w:rsidR="000D594B" w:rsidRDefault="000D594B"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340281E6" w:rsidR="004A3AAF" w:rsidRDefault="00E63554" w:rsidP="001C5F6C">
    <w:pPr>
      <w:pStyle w:val="Header"/>
      <w:tabs>
        <w:tab w:val="clear" w:pos="4680"/>
        <w:tab w:val="clear" w:pos="9360"/>
        <w:tab w:val="right" w:pos="9810"/>
      </w:tabs>
      <w:ind w:left="-450"/>
      <w:rPr>
        <w:rFonts w:ascii="Times New Roman" w:hAnsi="Times New Roman" w:cs="Times New Roman"/>
        <w:b/>
        <w:lang w:val="en-US"/>
      </w:rPr>
    </w:pPr>
    <w:r w:rsidRPr="00E63554">
      <w:rPr>
        <w:rFonts w:ascii="Times New Roman" w:hAnsi="Times New Roman" w:cs="Times New Roman"/>
        <w:b/>
        <w:lang w:val="en-US"/>
      </w:rPr>
      <w:t>SHAREHOLDERS’ AGREEMENT</w:t>
    </w:r>
    <w:r w:rsidR="004A3AAF">
      <w:rPr>
        <w:rFonts w:ascii="Times New Roman" w:hAnsi="Times New Roman" w:cs="Times New Roman"/>
        <w:b/>
        <w:lang w:val="en-US"/>
      </w:rPr>
      <w:tab/>
      <w:t>LAW SOCIETY OF BRITISH COLUMBIA</w:t>
    </w:r>
  </w:p>
  <w:p w14:paraId="3A441FBF" w14:textId="7A667FE4" w:rsidR="004A3AAF" w:rsidRPr="001F4715" w:rsidRDefault="00E63554" w:rsidP="00E63554">
    <w:pPr>
      <w:pStyle w:val="Header"/>
      <w:tabs>
        <w:tab w:val="clear" w:pos="4680"/>
        <w:tab w:val="clear" w:pos="9360"/>
        <w:tab w:val="right" w:pos="9810"/>
      </w:tabs>
      <w:ind w:left="-450"/>
      <w:rPr>
        <w:rFonts w:ascii="Times New Roman" w:hAnsi="Times New Roman" w:cs="Times New Roman"/>
        <w:b/>
        <w:lang w:val="en-US"/>
      </w:rPr>
    </w:pPr>
    <w:r w:rsidRPr="00E63554">
      <w:rPr>
        <w:rFonts w:ascii="Times New Roman" w:hAnsi="Times New Roman" w:cs="Times New Roman"/>
        <w:b/>
        <w:lang w:val="en-US"/>
      </w:rPr>
      <w:t>PROCEDURE</w:t>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439BB604"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E63554" w:rsidRPr="00E63554">
      <w:rPr>
        <w:rFonts w:ascii="Times New Roman" w:hAnsi="Times New Roman" w:cs="Times New Roman"/>
        <w:b/>
        <w:lang w:val="en-US"/>
      </w:rPr>
      <w:t>SHAREHOLDERS’ AGREEMENT</w:t>
    </w:r>
  </w:p>
  <w:p w14:paraId="6C3656F9" w14:textId="46E14E90" w:rsidR="001F4715" w:rsidRPr="001F4715" w:rsidRDefault="0051703F" w:rsidP="00E63554">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E63554" w:rsidRPr="00E63554">
      <w:rPr>
        <w:rFonts w:ascii="Times New Roman" w:hAnsi="Times New Roman" w:cs="Times New Roman"/>
        <w:b/>
        <w:lang w:val="en-US"/>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 w15:restartNumberingAfterBreak="0">
    <w:nsid w:val="73595F50"/>
    <w:multiLevelType w:val="multilevel"/>
    <w:tmpl w:val="1009001D"/>
    <w:numStyleLink w:val="Newdevelopmentbullet1"/>
  </w:abstractNum>
  <w:abstractNum w:abstractNumId="5"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006E5"/>
    <w:rsid w:val="000272B7"/>
    <w:rsid w:val="00037974"/>
    <w:rsid w:val="00045025"/>
    <w:rsid w:val="00055CB6"/>
    <w:rsid w:val="000625FB"/>
    <w:rsid w:val="000779B8"/>
    <w:rsid w:val="00091777"/>
    <w:rsid w:val="0009665A"/>
    <w:rsid w:val="000A6C5A"/>
    <w:rsid w:val="000D594B"/>
    <w:rsid w:val="000D7DC4"/>
    <w:rsid w:val="000E3B99"/>
    <w:rsid w:val="00100EF0"/>
    <w:rsid w:val="00121A45"/>
    <w:rsid w:val="00136DEF"/>
    <w:rsid w:val="00145D28"/>
    <w:rsid w:val="00151D64"/>
    <w:rsid w:val="001561EF"/>
    <w:rsid w:val="00171792"/>
    <w:rsid w:val="00187224"/>
    <w:rsid w:val="001C5F6C"/>
    <w:rsid w:val="001F07D3"/>
    <w:rsid w:val="001F305C"/>
    <w:rsid w:val="001F4715"/>
    <w:rsid w:val="001F563C"/>
    <w:rsid w:val="00210E66"/>
    <w:rsid w:val="002132B5"/>
    <w:rsid w:val="00237E8F"/>
    <w:rsid w:val="0024237C"/>
    <w:rsid w:val="002474BD"/>
    <w:rsid w:val="002502F3"/>
    <w:rsid w:val="00250E5F"/>
    <w:rsid w:val="00253395"/>
    <w:rsid w:val="00262DBF"/>
    <w:rsid w:val="002662C2"/>
    <w:rsid w:val="00273379"/>
    <w:rsid w:val="00281E30"/>
    <w:rsid w:val="00282870"/>
    <w:rsid w:val="002A54E7"/>
    <w:rsid w:val="002A6052"/>
    <w:rsid w:val="002A6234"/>
    <w:rsid w:val="002C30AB"/>
    <w:rsid w:val="002C61B4"/>
    <w:rsid w:val="002D0CA0"/>
    <w:rsid w:val="002D5112"/>
    <w:rsid w:val="002D55B0"/>
    <w:rsid w:val="002F3B75"/>
    <w:rsid w:val="0032713A"/>
    <w:rsid w:val="00327CED"/>
    <w:rsid w:val="00340A88"/>
    <w:rsid w:val="00354CBA"/>
    <w:rsid w:val="003613B4"/>
    <w:rsid w:val="003625D3"/>
    <w:rsid w:val="00380C8D"/>
    <w:rsid w:val="00381EBF"/>
    <w:rsid w:val="00394C5E"/>
    <w:rsid w:val="00395BB2"/>
    <w:rsid w:val="003A03B7"/>
    <w:rsid w:val="003E3FED"/>
    <w:rsid w:val="003E4C65"/>
    <w:rsid w:val="004305B8"/>
    <w:rsid w:val="00433B2B"/>
    <w:rsid w:val="00437BB1"/>
    <w:rsid w:val="004649BA"/>
    <w:rsid w:val="004916DB"/>
    <w:rsid w:val="004A3AAF"/>
    <w:rsid w:val="004B0F1A"/>
    <w:rsid w:val="004C5E94"/>
    <w:rsid w:val="004F1ECA"/>
    <w:rsid w:val="004F3774"/>
    <w:rsid w:val="0050634E"/>
    <w:rsid w:val="0051703F"/>
    <w:rsid w:val="005258FB"/>
    <w:rsid w:val="00532360"/>
    <w:rsid w:val="0056402A"/>
    <w:rsid w:val="00564584"/>
    <w:rsid w:val="00571081"/>
    <w:rsid w:val="005B5696"/>
    <w:rsid w:val="005B75CE"/>
    <w:rsid w:val="005C0ECD"/>
    <w:rsid w:val="005E34CF"/>
    <w:rsid w:val="005F3A15"/>
    <w:rsid w:val="005F6CF5"/>
    <w:rsid w:val="00600431"/>
    <w:rsid w:val="00612D7E"/>
    <w:rsid w:val="006231C5"/>
    <w:rsid w:val="00644A0B"/>
    <w:rsid w:val="00661870"/>
    <w:rsid w:val="00677EF7"/>
    <w:rsid w:val="006B5878"/>
    <w:rsid w:val="006C189C"/>
    <w:rsid w:val="006C32D1"/>
    <w:rsid w:val="006D7090"/>
    <w:rsid w:val="006E0AF2"/>
    <w:rsid w:val="006E4A9A"/>
    <w:rsid w:val="00700913"/>
    <w:rsid w:val="007145EA"/>
    <w:rsid w:val="007156C5"/>
    <w:rsid w:val="00751070"/>
    <w:rsid w:val="00755B10"/>
    <w:rsid w:val="00776C9B"/>
    <w:rsid w:val="007A6D33"/>
    <w:rsid w:val="007A7B9F"/>
    <w:rsid w:val="007D1803"/>
    <w:rsid w:val="007D1AEC"/>
    <w:rsid w:val="007D3492"/>
    <w:rsid w:val="007D3562"/>
    <w:rsid w:val="007E5C7C"/>
    <w:rsid w:val="008177E9"/>
    <w:rsid w:val="008206C3"/>
    <w:rsid w:val="00834DFA"/>
    <w:rsid w:val="00854776"/>
    <w:rsid w:val="00856FC3"/>
    <w:rsid w:val="00866DA8"/>
    <w:rsid w:val="0087002C"/>
    <w:rsid w:val="008705C2"/>
    <w:rsid w:val="008719A1"/>
    <w:rsid w:val="00880505"/>
    <w:rsid w:val="00887D86"/>
    <w:rsid w:val="008978EC"/>
    <w:rsid w:val="008A69BF"/>
    <w:rsid w:val="00900B7D"/>
    <w:rsid w:val="00902419"/>
    <w:rsid w:val="00902A8F"/>
    <w:rsid w:val="00920EBA"/>
    <w:rsid w:val="009272AE"/>
    <w:rsid w:val="00990E45"/>
    <w:rsid w:val="00A061AB"/>
    <w:rsid w:val="00A373E9"/>
    <w:rsid w:val="00A54166"/>
    <w:rsid w:val="00A766F8"/>
    <w:rsid w:val="00A8014B"/>
    <w:rsid w:val="00A8366A"/>
    <w:rsid w:val="00A84E85"/>
    <w:rsid w:val="00A96286"/>
    <w:rsid w:val="00AB59BD"/>
    <w:rsid w:val="00AD61B1"/>
    <w:rsid w:val="00AD6B19"/>
    <w:rsid w:val="00AF6731"/>
    <w:rsid w:val="00B42FA9"/>
    <w:rsid w:val="00B51554"/>
    <w:rsid w:val="00B96306"/>
    <w:rsid w:val="00BA2B59"/>
    <w:rsid w:val="00BC601B"/>
    <w:rsid w:val="00BD127A"/>
    <w:rsid w:val="00BD2E44"/>
    <w:rsid w:val="00BE4B87"/>
    <w:rsid w:val="00C204C3"/>
    <w:rsid w:val="00C22F92"/>
    <w:rsid w:val="00C31A6A"/>
    <w:rsid w:val="00C34C42"/>
    <w:rsid w:val="00C4719F"/>
    <w:rsid w:val="00C545C0"/>
    <w:rsid w:val="00C7315E"/>
    <w:rsid w:val="00C7544E"/>
    <w:rsid w:val="00C902B2"/>
    <w:rsid w:val="00CA4796"/>
    <w:rsid w:val="00CB77D4"/>
    <w:rsid w:val="00CC1CDC"/>
    <w:rsid w:val="00CC315C"/>
    <w:rsid w:val="00CE25AF"/>
    <w:rsid w:val="00D23AFC"/>
    <w:rsid w:val="00D27AF5"/>
    <w:rsid w:val="00D30C98"/>
    <w:rsid w:val="00D415B9"/>
    <w:rsid w:val="00D47750"/>
    <w:rsid w:val="00D60AD8"/>
    <w:rsid w:val="00D63CAD"/>
    <w:rsid w:val="00D960B3"/>
    <w:rsid w:val="00D96B3B"/>
    <w:rsid w:val="00DA75E8"/>
    <w:rsid w:val="00DD2A61"/>
    <w:rsid w:val="00DD4965"/>
    <w:rsid w:val="00DF5F59"/>
    <w:rsid w:val="00E013EA"/>
    <w:rsid w:val="00E07E24"/>
    <w:rsid w:val="00E07ECA"/>
    <w:rsid w:val="00E10125"/>
    <w:rsid w:val="00E30706"/>
    <w:rsid w:val="00E33E31"/>
    <w:rsid w:val="00E33FBE"/>
    <w:rsid w:val="00E349D2"/>
    <w:rsid w:val="00E63554"/>
    <w:rsid w:val="00E71A7E"/>
    <w:rsid w:val="00E7297E"/>
    <w:rsid w:val="00E8707E"/>
    <w:rsid w:val="00E93931"/>
    <w:rsid w:val="00EA5E05"/>
    <w:rsid w:val="00EC154A"/>
    <w:rsid w:val="00ED6358"/>
    <w:rsid w:val="00EE7857"/>
    <w:rsid w:val="00EF1DBD"/>
    <w:rsid w:val="00EF20F1"/>
    <w:rsid w:val="00EF6341"/>
    <w:rsid w:val="00F0440B"/>
    <w:rsid w:val="00F06926"/>
    <w:rsid w:val="00F0713E"/>
    <w:rsid w:val="00F257E0"/>
    <w:rsid w:val="00F33AFA"/>
    <w:rsid w:val="00F43FA2"/>
    <w:rsid w:val="00F462DC"/>
    <w:rsid w:val="00F65855"/>
    <w:rsid w:val="00F67246"/>
    <w:rsid w:val="00F7548F"/>
    <w:rsid w:val="00FB0E8F"/>
    <w:rsid w:val="00FB44B6"/>
    <w:rsid w:val="00FB5ED3"/>
    <w:rsid w:val="00FC2B60"/>
    <w:rsid w:val="00FF5F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I1">
    <w:name w:val="Italics=I1"/>
    <w:rsid w:val="00E63554"/>
    <w:rPr>
      <w:rFonts w:ascii="Times New Roman" w:hAnsi="Times New Roman"/>
      <w:i/>
      <w:sz w:val="20"/>
    </w:rPr>
  </w:style>
  <w:style w:type="character" w:customStyle="1" w:styleId="Italics">
    <w:name w:val="Italics"/>
    <w:rsid w:val="00E63554"/>
    <w:rPr>
      <w:rFonts w:ascii="Times" w:hAnsi="Times"/>
      <w:i/>
      <w:sz w:val="20"/>
    </w:rPr>
  </w:style>
  <w:style w:type="character" w:styleId="Hyperlink">
    <w:name w:val="Hyperlink"/>
    <w:uiPriority w:val="99"/>
    <w:rsid w:val="00E63554"/>
    <w:rPr>
      <w:color w:val="0000FF"/>
      <w:u w:val="single"/>
    </w:rPr>
  </w:style>
  <w:style w:type="character" w:styleId="UnresolvedMention">
    <w:name w:val="Unresolved Mention"/>
    <w:basedOn w:val="DefaultParagraphFont"/>
    <w:uiPriority w:val="99"/>
    <w:semiHidden/>
    <w:unhideWhenUsed/>
    <w:rsid w:val="00E63554"/>
    <w:rPr>
      <w:color w:val="605E5C"/>
      <w:shd w:val="clear" w:color="auto" w:fill="E1DFDD"/>
    </w:rPr>
  </w:style>
  <w:style w:type="paragraph" w:styleId="Revision">
    <w:name w:val="Revision"/>
    <w:hidden/>
    <w:uiPriority w:val="99"/>
    <w:semiHidden/>
    <w:rsid w:val="005C0ECD"/>
    <w:pPr>
      <w:spacing w:after="0"/>
    </w:pPr>
  </w:style>
  <w:style w:type="character" w:styleId="CommentReference">
    <w:name w:val="annotation reference"/>
    <w:basedOn w:val="DefaultParagraphFont"/>
    <w:uiPriority w:val="99"/>
    <w:semiHidden/>
    <w:unhideWhenUsed/>
    <w:rsid w:val="003E4C65"/>
    <w:rPr>
      <w:sz w:val="16"/>
      <w:szCs w:val="16"/>
    </w:rPr>
  </w:style>
  <w:style w:type="paragraph" w:styleId="CommentText">
    <w:name w:val="annotation text"/>
    <w:basedOn w:val="Normal"/>
    <w:link w:val="CommentTextChar"/>
    <w:uiPriority w:val="99"/>
    <w:unhideWhenUsed/>
    <w:rsid w:val="003E4C65"/>
    <w:rPr>
      <w:sz w:val="20"/>
      <w:szCs w:val="20"/>
    </w:rPr>
  </w:style>
  <w:style w:type="character" w:customStyle="1" w:styleId="CommentTextChar">
    <w:name w:val="Comment Text Char"/>
    <w:basedOn w:val="DefaultParagraphFont"/>
    <w:link w:val="CommentText"/>
    <w:uiPriority w:val="99"/>
    <w:rsid w:val="003E4C65"/>
    <w:rPr>
      <w:sz w:val="20"/>
      <w:szCs w:val="20"/>
    </w:rPr>
  </w:style>
  <w:style w:type="paragraph" w:styleId="CommentSubject">
    <w:name w:val="annotation subject"/>
    <w:basedOn w:val="CommentText"/>
    <w:next w:val="CommentText"/>
    <w:link w:val="CommentSubjectChar"/>
    <w:uiPriority w:val="99"/>
    <w:semiHidden/>
    <w:unhideWhenUsed/>
    <w:rsid w:val="003E4C65"/>
    <w:rPr>
      <w:b/>
      <w:bCs/>
    </w:rPr>
  </w:style>
  <w:style w:type="character" w:customStyle="1" w:styleId="CommentSubjectChar">
    <w:name w:val="Comment Subject Char"/>
    <w:basedOn w:val="CommentTextChar"/>
    <w:link w:val="CommentSubject"/>
    <w:uiPriority w:val="99"/>
    <w:semiHidden/>
    <w:rsid w:val="003E4C65"/>
    <w:rPr>
      <w:b/>
      <w:bCs/>
      <w:sz w:val="20"/>
      <w:szCs w:val="20"/>
    </w:rPr>
  </w:style>
  <w:style w:type="character" w:styleId="FollowedHyperlink">
    <w:name w:val="FollowedHyperlink"/>
    <w:basedOn w:val="DefaultParagraphFont"/>
    <w:uiPriority w:val="99"/>
    <w:semiHidden/>
    <w:unhideWhenUsed/>
    <w:rsid w:val="008206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acticeadvice@lsbc.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wsociety.bc.ca/for-lawyers/discipline-advisor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society.bc.ca/for-lawyers/practice-resources/client-id-verific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le.bc.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wsociety.bc.ca/Website/media/Shared/docs/practice/resources/Ltrs-NonEngag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4860</Words>
  <Characters>27706</Characters>
  <Application>Microsoft Office Word</Application>
  <DocSecurity>4</DocSecurity>
  <Lines>230</Lines>
  <Paragraphs>65</Paragraphs>
  <ScaleCrop>false</ScaleCrop>
  <HeadingPairs>
    <vt:vector size="2" baseType="variant">
      <vt:variant>
        <vt:lpstr>Title</vt:lpstr>
      </vt:variant>
      <vt:variant>
        <vt:i4>1</vt:i4>
      </vt:variant>
    </vt:vector>
  </HeadingPairs>
  <TitlesOfParts>
    <vt:vector size="1" baseType="lpstr">
      <vt:lpstr>Shareholders Agreement Procedure</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Shareholders Agreement Procedure</dc:title>
  <dc:subject/>
  <dc:creator/>
  <cp:keywords/>
  <dc:description/>
  <cp:lastModifiedBy/>
  <cp:revision>1</cp:revision>
  <dcterms:created xsi:type="dcterms:W3CDTF">2024-12-12T17:42:00Z</dcterms:created>
  <dcterms:modified xsi:type="dcterms:W3CDTF">2024-12-12T17:42:00Z</dcterms:modified>
</cp:coreProperties>
</file>