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29095EAD"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AE13FA" w:rsidRPr="00AE13FA">
        <w:rPr>
          <w:rFonts w:ascii="Times New Roman" w:hAnsi="Times New Roman" w:cs="Times New Roman"/>
          <w:bCs/>
        </w:rPr>
        <w:t xml:space="preserve">This checklist is designed to be used with the </w:t>
      </w:r>
      <w:r w:rsidR="00AE13FA" w:rsidRPr="00AE13FA">
        <w:rPr>
          <w:rFonts w:ascii="Times New Roman" w:hAnsi="Times New Roman" w:cs="Times New Roman"/>
          <w:bCs/>
          <w:smallCaps/>
        </w:rPr>
        <w:t>client identification and verification procedure</w:t>
      </w:r>
      <w:r w:rsidR="00AE13FA" w:rsidRPr="00AE13FA">
        <w:rPr>
          <w:rFonts w:ascii="Times New Roman" w:hAnsi="Times New Roman" w:cs="Times New Roman"/>
          <w:bCs/>
        </w:rPr>
        <w:t xml:space="preserve"> (A-1), the </w:t>
      </w:r>
      <w:r w:rsidR="00AE13FA" w:rsidRPr="00AE13FA">
        <w:rPr>
          <w:rFonts w:ascii="Times New Roman" w:hAnsi="Times New Roman" w:cs="Times New Roman"/>
          <w:bCs/>
          <w:smallCaps/>
        </w:rPr>
        <w:t xml:space="preserve">client </w:t>
      </w:r>
      <w:r w:rsidR="00AE13FA" w:rsidRPr="00AE13FA">
        <w:rPr>
          <w:rFonts w:ascii="Times New Roman" w:hAnsi="Times New Roman" w:cs="Times New Roman"/>
          <w:smallCaps/>
        </w:rPr>
        <w:t>file opening and closing</w:t>
      </w:r>
      <w:r w:rsidR="00AE13FA" w:rsidRPr="00AE13FA">
        <w:rPr>
          <w:rFonts w:ascii="Times New Roman" w:hAnsi="Times New Roman" w:cs="Times New Roman"/>
        </w:rPr>
        <w:t xml:space="preserve"> (A-2),</w:t>
      </w:r>
      <w:r w:rsidR="00AE13FA" w:rsidRPr="00AE13FA">
        <w:rPr>
          <w:rFonts w:ascii="Times New Roman" w:hAnsi="Times New Roman" w:cs="Times New Roman"/>
          <w:bCs/>
        </w:rPr>
        <w:t xml:space="preserve"> </w:t>
      </w:r>
      <w:r w:rsidR="00AE13FA" w:rsidRPr="00AE13FA">
        <w:rPr>
          <w:rFonts w:ascii="Times New Roman" w:hAnsi="Times New Roman" w:cs="Times New Roman"/>
        </w:rPr>
        <w:t xml:space="preserve">and the </w:t>
      </w:r>
      <w:r w:rsidR="00AE13FA" w:rsidRPr="00AE13FA">
        <w:rPr>
          <w:rStyle w:val="SmallCaps"/>
          <w:rFonts w:ascii="Times New Roman" w:hAnsi="Times New Roman" w:cs="Times New Roman"/>
          <w:sz w:val="22"/>
        </w:rPr>
        <w:t>mortgage procedure</w:t>
      </w:r>
      <w:r w:rsidR="00AE13FA" w:rsidRPr="00AE13FA">
        <w:rPr>
          <w:rFonts w:ascii="Times New Roman" w:hAnsi="Times New Roman" w:cs="Times New Roman"/>
        </w:rPr>
        <w:t xml:space="preserve"> (F-2) checklists. This checklist relates primarily to a conventional first mortgage on residential property, where express mortgage terms are to be added to filed or prescribed standard mortgage terms, or where you are creating a set of standard mortgage terms to be filed. This checklist is not exhaustive, and must be considered in relation to the particular facts in the matter at hand and augmented or revised as appropriate.</w:t>
      </w:r>
      <w:r w:rsidR="00AE13FA" w:rsidRPr="002A1724">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3E46EA">
        <w:rPr>
          <w:rFonts w:ascii="Times New Roman" w:hAnsi="Times New Roman" w:cs="Times New Roman"/>
          <w:lang w:val="en-US"/>
        </w:rPr>
        <w:t>4</w:t>
      </w:r>
      <w:r w:rsidRPr="005B5696">
        <w:rPr>
          <w:rFonts w:ascii="Times New Roman" w:hAnsi="Times New Roman" w:cs="Times New Roman"/>
          <w:lang w:val="en-US"/>
        </w:rPr>
        <w:t>, 202</w:t>
      </w:r>
      <w:r w:rsidR="004E59AE">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E72476" w14:paraId="2E822C6A" w14:textId="77777777" w:rsidTr="008A69BF">
        <w:tc>
          <w:tcPr>
            <w:tcW w:w="9350" w:type="dxa"/>
            <w:vAlign w:val="center"/>
          </w:tcPr>
          <w:p w14:paraId="7F6DB33D" w14:textId="379BD913" w:rsidR="00E72476" w:rsidRPr="00AE48EE" w:rsidRDefault="003E46EA" w:rsidP="00026C00">
            <w:pPr>
              <w:pStyle w:val="Newdevelopmentbulletfirstlevel"/>
            </w:pPr>
            <w:r w:rsidRPr="008046F8">
              <w:rPr>
                <w:b/>
                <w:lang w:val="en-US"/>
              </w:rPr>
              <w:t>First-time home buyer GST rebate.</w:t>
            </w:r>
            <w:r w:rsidRPr="008046F8">
              <w:rPr>
                <w:lang w:val="en-US"/>
              </w:rPr>
              <w:t xml:space="preserve"> On May 27, 2025, the federal government</w:t>
            </w:r>
            <w:r w:rsidR="00026C00">
              <w:rPr>
                <w:lang w:val="en-US"/>
              </w:rPr>
              <w:t xml:space="preserve"> </w:t>
            </w:r>
            <w:r w:rsidRPr="008046F8">
              <w:rPr>
                <w:lang w:val="en-US"/>
              </w:rPr>
              <w:t>tabled legislative proposals to amend the</w:t>
            </w:r>
            <w:r w:rsidR="00026C00">
              <w:rPr>
                <w:lang w:val="en-US"/>
              </w:rPr>
              <w:t xml:space="preserve"> </w:t>
            </w:r>
            <w:r w:rsidRPr="008046F8">
              <w:rPr>
                <w:i/>
                <w:lang w:val="en-US"/>
              </w:rPr>
              <w:t>Excise Tax Act</w:t>
            </w:r>
            <w:r w:rsidRPr="008046F8">
              <w:rPr>
                <w:iCs/>
                <w:lang w:val="en-US"/>
              </w:rPr>
              <w:t>, R.S.C., 1985, c. E-15. The proposed amendments</w:t>
            </w:r>
            <w:r w:rsidR="00026C00">
              <w:rPr>
                <w:iCs/>
                <w:lang w:val="en-US"/>
              </w:rPr>
              <w:t xml:space="preserve"> </w:t>
            </w:r>
            <w:r w:rsidRPr="008046F8">
              <w:rPr>
                <w:lang w:val="en-US"/>
              </w:rPr>
              <w:t>would introduce a new GST rebate for first-time home buyers (the “FTHB GST Rebate”). The FTHB GST Rebate would provide a rebate of 100% of the GST on the purchase of newly constructed residential properties valued at up to $1 million by eligible first</w:t>
            </w:r>
            <w:r w:rsidRPr="008046F8">
              <w:rPr>
                <w:lang w:val="en-US"/>
              </w:rPr>
              <w:noBreakHyphen/>
              <w:t>time home buyers. Further, the amendments would gradually phase out the FTHB GST Rebate for new homes valued between $1 million and $1.5 million. To be considered a “first-time home buyer” for the purposes of the FTHB GST Rebate under the proposed amendments, individuals must: be at least 18 years of age; be either a Canadian citizen or a permanent resident of Canada; and not have lived in a home, whether in or outside Canada, that they owned or that their spouse or common-law partner owned in the calendar year or in the four preceding calendar years.</w:t>
            </w:r>
          </w:p>
        </w:tc>
      </w:tr>
      <w:tr w:rsidR="005E0FBD" w14:paraId="67484B05" w14:textId="77777777" w:rsidTr="008A69BF">
        <w:tc>
          <w:tcPr>
            <w:tcW w:w="9350" w:type="dxa"/>
            <w:vAlign w:val="center"/>
          </w:tcPr>
          <w:p w14:paraId="0F2A5D41" w14:textId="362E03FE" w:rsidR="005E0FBD" w:rsidRPr="008046F8" w:rsidRDefault="005E0FBD" w:rsidP="00026C00">
            <w:pPr>
              <w:pStyle w:val="Newdevelopmentbulletfirstlevel"/>
              <w:numPr>
                <w:ilvl w:val="0"/>
                <w:numId w:val="11"/>
              </w:numPr>
              <w:ind w:left="613"/>
              <w:rPr>
                <w:b/>
                <w:lang w:val="en-US"/>
              </w:rPr>
            </w:pPr>
            <w:r w:rsidRPr="00FF72AA">
              <w:rPr>
                <w:b/>
              </w:rPr>
              <w:t xml:space="preserve">Title </w:t>
            </w:r>
            <w:r w:rsidRPr="00D450F4">
              <w:rPr>
                <w:b/>
              </w:rPr>
              <w:t>insurer</w:t>
            </w:r>
            <w:r w:rsidRPr="00FF72AA">
              <w:rPr>
                <w:b/>
              </w:rPr>
              <w:t xml:space="preserve"> obligations under FINTRAC</w:t>
            </w:r>
            <w:r>
              <w:t xml:space="preserve">: Effective October 1, 2025, title insurers will be required to comply with the </w:t>
            </w:r>
            <w:r w:rsidRPr="00181B4B">
              <w:rPr>
                <w:i/>
                <w:iCs/>
              </w:rPr>
              <w:t>Proceeds of Crime (Money Laundering) and Terrorist Financing Act</w:t>
            </w:r>
            <w:r>
              <w:rPr>
                <w:i/>
                <w:iCs/>
              </w:rPr>
              <w:t xml:space="preserve">, </w:t>
            </w:r>
            <w:r>
              <w:t xml:space="preserve">S.C. 2000, c. 17, and associated Regulations. Compliance will include verifying the identity of purchasers prior to issuing an owner’s title insurance policy. As lawyers are required to obtain identity and verification information (“IDV”) pursuant to the Law Society Rules, title insurers have indicated that they will request that lawyers act as their agent to fulfill their IDV obligations. Lawyers must consider their professional obligations in deciding whether to assist and, if prepared to do so, obtain their client's authorization prior to release of such IDV information. See the </w:t>
            </w:r>
            <w:hyperlink r:id="rId10" w:history="1">
              <w:r w:rsidRPr="00FD1175">
                <w:rPr>
                  <w:rStyle w:val="Hyperlink"/>
                </w:rPr>
                <w:t>Law Society of British Columbia’s August 1, 2025 Notice to real estate lawyers: Title insurers report to FINTRAC from October 1, 2025</w:t>
              </w:r>
            </w:hyperlink>
            <w:r>
              <w:t xml:space="preserve"> and be alert to further notices from the Law Society.</w:t>
            </w:r>
          </w:p>
        </w:tc>
      </w:tr>
      <w:tr w:rsidR="005E0FBD" w14:paraId="37758DA2" w14:textId="77777777" w:rsidTr="008A69BF">
        <w:tc>
          <w:tcPr>
            <w:tcW w:w="9350" w:type="dxa"/>
            <w:vAlign w:val="center"/>
          </w:tcPr>
          <w:p w14:paraId="16F105BB" w14:textId="1A8382DF" w:rsidR="005E0FBD" w:rsidRPr="005E0FBD" w:rsidRDefault="005E0FBD" w:rsidP="005E0FBD">
            <w:pPr>
              <w:pStyle w:val="Newdevelopmentbulletfirstlevel"/>
            </w:pPr>
            <w:r>
              <w:rPr>
                <w:b/>
                <w:bCs/>
                <w:i/>
                <w:iCs/>
              </w:rPr>
              <w:t xml:space="preserve">Property Transfer Tax Act. </w:t>
            </w:r>
            <w:r>
              <w:t xml:space="preserve">Effective April 1, 2024, the qualifying value of a property for the </w:t>
            </w:r>
            <w:proofErr w:type="gramStart"/>
            <w:r>
              <w:t>first time</w:t>
            </w:r>
            <w:proofErr w:type="gramEnd"/>
            <w:r>
              <w:t xml:space="preserve"> home buyer exemption and the new housing exemption has increased. The </w:t>
            </w:r>
            <w:proofErr w:type="gramStart"/>
            <w:r>
              <w:t>first time</w:t>
            </w:r>
            <w:proofErr w:type="gramEnd"/>
            <w:r>
              <w:t xml:space="preserve"> home buyer exemption is available for a qualifying property not exceeding $835,000 with a partial exemption if the qualifying property is more than $835,000 but less than $860,000 (</w:t>
            </w:r>
            <w:r>
              <w:rPr>
                <w:i/>
                <w:iCs/>
              </w:rPr>
              <w:t>Property Transfer Tax Act</w:t>
            </w:r>
            <w:r>
              <w:t>, R.S.B.C. 1996, c. 378, s. 4). The new housing exemption is available for a qualifying property not exceeding $1,100,000 with a partial exemption if the qualifying property is more than $1,100,000 but less than $1,150,000 (s. 12.01).</w:t>
            </w:r>
          </w:p>
        </w:tc>
      </w:tr>
      <w:tr w:rsidR="005E0FBD" w14:paraId="1C4965D7" w14:textId="77777777" w:rsidTr="008A69BF">
        <w:tc>
          <w:tcPr>
            <w:tcW w:w="9350" w:type="dxa"/>
            <w:vAlign w:val="center"/>
          </w:tcPr>
          <w:p w14:paraId="58AA674A" w14:textId="4A48B481" w:rsidR="005E0FBD" w:rsidRPr="008046F8" w:rsidRDefault="005E0FBD" w:rsidP="005E0FBD">
            <w:pPr>
              <w:pStyle w:val="Newdevelopmentbulletfirstlevel"/>
              <w:numPr>
                <w:ilvl w:val="0"/>
                <w:numId w:val="10"/>
              </w:numPr>
              <w:ind w:left="523" w:hanging="270"/>
              <w:rPr>
                <w:b/>
                <w:lang w:val="en-US"/>
              </w:rPr>
            </w:pPr>
            <w:r>
              <w:rPr>
                <w:b/>
                <w:bCs/>
              </w:rPr>
              <w:lastRenderedPageBreak/>
              <w:t>Reduction of the criminal interest rate.</w:t>
            </w:r>
            <w:r>
              <w:t xml:space="preserve"> Effective January 1, 2025, Bill C-47</w:t>
            </w:r>
            <w:r w:rsidRPr="001F62C6">
              <w:t>—</w:t>
            </w:r>
            <w:r>
              <w:rPr>
                <w:i/>
                <w:iCs/>
              </w:rPr>
              <w:t>Budget Implementation Act, 2023, No. 1</w:t>
            </w:r>
            <w:r w:rsidRPr="00AE48EE">
              <w:t>,</w:t>
            </w:r>
            <w:r>
              <w:rPr>
                <w:i/>
                <w:iCs/>
              </w:rPr>
              <w:t xml:space="preserve"> </w:t>
            </w:r>
            <w:r>
              <w:t xml:space="preserve">lowered the criminal interest rate under s. 347 of the </w:t>
            </w:r>
            <w:r>
              <w:rPr>
                <w:i/>
                <w:iCs/>
              </w:rPr>
              <w:t>Criminal Code</w:t>
            </w:r>
            <w:r w:rsidRPr="00AE48EE">
              <w:t>, R.S.C. 1985, c. C-46</w:t>
            </w:r>
            <w:r>
              <w:t xml:space="preserve"> from a 60% effective annual rate to a 35% annual percentage rate (“APR”). The revised criminal interest rate applies to all lending arrangements in Canada, with exemptions for non-predatory loans including certain payday loans (capped at $14 per $100 borrowed), tax rebate advances, pawn loans with an APR below 48%, and commercial loans about $10,000. Commercial loans ranging from $10,000 to $500,000 are exempt from the criminal interest rate if the APR remains below 48%, and commercial loans above $500,000 will not be subject to any interest rate cap.</w:t>
            </w:r>
          </w:p>
        </w:tc>
      </w:tr>
      <w:tr w:rsidR="00AE48EE" w14:paraId="71D69090" w14:textId="77777777" w:rsidTr="008A69BF">
        <w:tc>
          <w:tcPr>
            <w:tcW w:w="9350" w:type="dxa"/>
            <w:vAlign w:val="center"/>
          </w:tcPr>
          <w:p w14:paraId="1B6E4EED" w14:textId="479866CB" w:rsidR="00AE48EE" w:rsidRPr="00AE13FA" w:rsidRDefault="00AE48EE" w:rsidP="00E72476">
            <w:pPr>
              <w:pStyle w:val="Newdevelopmentbulletfirstlevel"/>
              <w:rPr>
                <w:b/>
                <w:bCs/>
                <w:i/>
                <w:iCs/>
              </w:rPr>
            </w:pPr>
            <w:r w:rsidRPr="00AE13FA">
              <w:rPr>
                <w:b/>
                <w:bCs/>
              </w:rPr>
              <w:t>Remote witnessing of affidavits.</w:t>
            </w:r>
            <w:r w:rsidRPr="00AE13FA">
              <w:t xml:space="preserve"> </w:t>
            </w:r>
            <w:r w:rsidRPr="000B7BA9">
              <w:t xml:space="preserve">Effective September 30, 2023, the temporary measures authorized by the Registrar in Practice Bulletin 01-20 to permit the remote witnessing of affidavits as a result of the COVID-19 pandemic were rescinded. See </w:t>
            </w:r>
            <w:hyperlink r:id="rId11" w:history="1">
              <w:r w:rsidRPr="000B7BA9">
                <w:rPr>
                  <w:rStyle w:val="Hyperlink"/>
                </w:rPr>
                <w:t>https://ltsa.ca/retirement-of-covid-measures-effective-september-30/</w:t>
              </w:r>
            </w:hyperlink>
            <w:r w:rsidRPr="000B7BA9">
              <w:t xml:space="preserve">. </w:t>
            </w:r>
            <w:r>
              <w:t>I</w:t>
            </w:r>
            <w:r w:rsidRPr="000B7BA9">
              <w:t>f the circumstances warrant use of an affidavit of execution in lieu of officer certification</w:t>
            </w:r>
            <w:r>
              <w:t>,</w:t>
            </w:r>
            <w:r w:rsidRPr="000B7BA9">
              <w:t xml:space="preserve"> s. 49 of the </w:t>
            </w:r>
            <w:r w:rsidRPr="000B7BA9">
              <w:rPr>
                <w:i/>
                <w:iCs/>
              </w:rPr>
              <w:t>Land Title Act</w:t>
            </w:r>
            <w:r w:rsidRPr="000B7BA9">
              <w:t>, R.S.B.C. 1996, c. 250 remains available. Any request for remote witnessing of affidavits must be made directly to the LTSA.</w:t>
            </w:r>
          </w:p>
        </w:tc>
      </w:tr>
      <w:tr w:rsidR="00026C00" w14:paraId="564B2B3F" w14:textId="77777777" w:rsidTr="008A69BF">
        <w:tc>
          <w:tcPr>
            <w:tcW w:w="9350" w:type="dxa"/>
            <w:vAlign w:val="center"/>
          </w:tcPr>
          <w:p w14:paraId="0AEA36F6" w14:textId="4EF21341" w:rsidR="00026C00" w:rsidRPr="00026C00" w:rsidRDefault="00026C00" w:rsidP="00026C00">
            <w:pPr>
              <w:pStyle w:val="Newdevelopmentbulletfirstlevel"/>
            </w:pPr>
            <w:r w:rsidRPr="00AE13FA">
              <w:rPr>
                <w:b/>
                <w:bCs/>
                <w:i/>
                <w:iCs/>
              </w:rPr>
              <w:t>Prohibition on the Purchase of Residential Property by Non-Canadians Act</w:t>
            </w:r>
            <w:r w:rsidRPr="00AE48EE">
              <w:rPr>
                <w:b/>
                <w:bCs/>
              </w:rPr>
              <w:t>.</w:t>
            </w:r>
            <w:r w:rsidRPr="00AE13FA">
              <w:t xml:space="preserve"> </w:t>
            </w:r>
            <w:r w:rsidRPr="000B7BA9">
              <w:t xml:space="preserve">The </w:t>
            </w:r>
            <w:r w:rsidRPr="00AE48EE">
              <w:rPr>
                <w:i/>
                <w:iCs/>
              </w:rPr>
              <w:t>Prohibition on the Purchase of Residential Property by Non-Canadians Act</w:t>
            </w:r>
            <w:r w:rsidRPr="00AE48EE">
              <w:t>, S.C. 2022, c.</w:t>
            </w:r>
            <w:r>
              <w:t> </w:t>
            </w:r>
            <w:r w:rsidRPr="00AE48EE">
              <w:t>10</w:t>
            </w:r>
            <w:r w:rsidRPr="000B7BA9">
              <w:t xml:space="preserve"> came into force January 1, 2023 and</w:t>
            </w:r>
            <w:r>
              <w:t xml:space="preserve"> </w:t>
            </w:r>
            <w:r w:rsidRPr="000B7BA9">
              <w:t xml:space="preserve">prohibits the purchase of residential property by non-Canadians. The prohibition was originally scheduled to expire on January 1, 2025 but </w:t>
            </w:r>
            <w:r>
              <w:t>was</w:t>
            </w:r>
            <w:r w:rsidRPr="000B7BA9">
              <w:t xml:space="preserve"> extended to January 1, 2027. There are limited exceptions for certain non-Canadians and certain residential properties.</w:t>
            </w:r>
          </w:p>
        </w:tc>
      </w:tr>
      <w:tr w:rsidR="00AE48EE" w14:paraId="31712656" w14:textId="77777777" w:rsidTr="008A69BF">
        <w:tc>
          <w:tcPr>
            <w:tcW w:w="9350" w:type="dxa"/>
            <w:vAlign w:val="center"/>
          </w:tcPr>
          <w:p w14:paraId="5D020470" w14:textId="09A69F3B" w:rsidR="003E46EA" w:rsidRPr="003E46EA" w:rsidRDefault="003E46EA" w:rsidP="003E46EA">
            <w:pPr>
              <w:pStyle w:val="Newdevelopmentbulletfirstlevel"/>
            </w:pPr>
            <w:r>
              <w:rPr>
                <w:b/>
                <w:bCs/>
                <w:i/>
                <w:iCs/>
              </w:rPr>
              <w:t>Residential Tenancy Act</w:t>
            </w:r>
            <w:r>
              <w:rPr>
                <w:b/>
                <w:bCs/>
              </w:rPr>
              <w:t xml:space="preserve">. </w:t>
            </w:r>
            <w:r>
              <w:t>Effective July 18, 2024, the notice period to end a tenancy for landlord’s (or purchaser’s) use of property is extended to four months, unless another notice period is prescribed, which will not be less than two months (</w:t>
            </w:r>
            <w:r>
              <w:rPr>
                <w:i/>
                <w:iCs/>
              </w:rPr>
              <w:t>Residential Tenancy Act</w:t>
            </w:r>
            <w:r>
              <w:t>, S.B.C. 2002, c. 78, s. 49(2)(a)). L</w:t>
            </w:r>
            <w:r w:rsidRPr="00CD3E21">
              <w:t>andlord</w:t>
            </w:r>
            <w:r>
              <w:t>s</w:t>
            </w:r>
            <w:r w:rsidRPr="00CD3E21">
              <w:t xml:space="preserve"> must generate the appropriate </w:t>
            </w:r>
            <w:r>
              <w:t>n</w:t>
            </w:r>
            <w:r w:rsidRPr="00CD3E21">
              <w:t xml:space="preserve">otice to </w:t>
            </w:r>
            <w:r>
              <w:t>e</w:t>
            </w:r>
            <w:r w:rsidRPr="00CD3E21">
              <w:t xml:space="preserve">nd </w:t>
            </w:r>
            <w:r>
              <w:t>t</w:t>
            </w:r>
            <w:r w:rsidRPr="00CD3E21">
              <w:t>enancy using the Residential Tenancy Branch’s web portal</w:t>
            </w:r>
            <w:r>
              <w:t>.</w:t>
            </w:r>
          </w:p>
        </w:tc>
      </w:tr>
      <w:tr w:rsidR="00E72476" w14:paraId="7F46F7BF" w14:textId="77777777" w:rsidTr="008A69BF">
        <w:tc>
          <w:tcPr>
            <w:tcW w:w="9350" w:type="dxa"/>
            <w:vAlign w:val="center"/>
          </w:tcPr>
          <w:p w14:paraId="083F4BAE" w14:textId="1DFCEED0" w:rsidR="00E72476" w:rsidRPr="00AE13FA" w:rsidRDefault="00E72476" w:rsidP="00A8366A">
            <w:pPr>
              <w:pStyle w:val="Newdevelopmentbulletfirstlevel"/>
              <w:rPr>
                <w:b/>
                <w:bCs/>
              </w:rPr>
            </w:pPr>
            <w:r w:rsidRPr="002A1724">
              <w:rPr>
                <w:b/>
              </w:rPr>
              <w:t xml:space="preserve">LTSA fee increase. </w:t>
            </w:r>
            <w:r w:rsidRPr="002A1724">
              <w:t xml:space="preserve">Most </w:t>
            </w:r>
            <w:r w:rsidR="000B7BA9" w:rsidRPr="00AE48EE">
              <w:t>LTSA fees increased</w:t>
            </w:r>
            <w:r w:rsidRPr="002A1724">
              <w:t xml:space="preserve"> on April 1, 202</w:t>
            </w:r>
            <w:r w:rsidR="008A33BC">
              <w:t>5.</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1175D299" w:rsidR="00FC1FB3" w:rsidRPr="00C5273F" w:rsidRDefault="00AE13FA" w:rsidP="00C5273F">
            <w:pPr>
              <w:pStyle w:val="Newdevelopmentbulletfirstlevel"/>
              <w:rPr>
                <w:bCs/>
                <w:spacing w:val="-3"/>
              </w:rPr>
            </w:pPr>
            <w:r w:rsidRPr="002A1724">
              <w:rPr>
                <w:b/>
                <w:bCs/>
                <w:spacing w:val="-3"/>
              </w:rPr>
              <w:t xml:space="preserve">Aboriginal law. </w:t>
            </w:r>
            <w:r w:rsidRPr="002A1724">
              <w:rPr>
                <w:bCs/>
                <w:spacing w:val="-3"/>
              </w:rPr>
              <w:t xml:space="preserve">Special considerations apply to First Nations lands. If a mortgage or foreclosure involves First Nations lands, consider seeking the advice of a lawyer with experience in Aboriginal law matters. The Framework Agreement on First Nation Land Management (the “Framework Agreement”) was ratified as the central authority by the </w:t>
            </w:r>
            <w:r w:rsidRPr="002A1724">
              <w:rPr>
                <w:bCs/>
                <w:i/>
                <w:spacing w:val="-3"/>
              </w:rPr>
              <w:t>Framework Agreement on First Nation Land Management Act</w:t>
            </w:r>
            <w:r w:rsidRPr="002A1724">
              <w:rPr>
                <w:bCs/>
                <w:spacing w:val="-3"/>
              </w:rPr>
              <w:t>, S.C. 2022, c.</w:t>
            </w:r>
            <w:r w:rsidR="00026C00">
              <w:rPr>
                <w:bCs/>
                <w:spacing w:val="-3"/>
              </w:rPr>
              <w:t> </w:t>
            </w:r>
            <w:r w:rsidRPr="002A1724">
              <w:rPr>
                <w:bCs/>
                <w:spacing w:val="-3"/>
              </w:rPr>
              <w:t>19, s.</w:t>
            </w:r>
            <w:r w:rsidR="00F676A3">
              <w:rPr>
                <w:bCs/>
                <w:spacing w:val="-3"/>
              </w:rPr>
              <w:t> </w:t>
            </w:r>
            <w:r w:rsidRPr="002A1724">
              <w:rPr>
                <w:bCs/>
                <w:spacing w:val="-3"/>
              </w:rPr>
              <w:t>121, which came into force on December 15, 2022. The Framework Agreement recognizes First Nations’ inherent right to govern their lands, and signatory First Nations assume the administration and law-making authority over their lands.</w:t>
            </w:r>
            <w:r>
              <w:rPr>
                <w:bCs/>
                <w:spacing w:val="-3"/>
              </w:rPr>
              <w:t xml:space="preserve"> </w:t>
            </w:r>
            <w:r w:rsidRPr="001035B3">
              <w:rPr>
                <w:bCs/>
                <w:spacing w:val="-3"/>
              </w:rPr>
              <w:t>Consider the following searches when ascertaining interests and priorities in First Nations lands:</w:t>
            </w:r>
          </w:p>
        </w:tc>
      </w:tr>
      <w:tr w:rsidR="00C5273F" w14:paraId="59F964EE" w14:textId="77777777" w:rsidTr="008A69BF">
        <w:tc>
          <w:tcPr>
            <w:tcW w:w="9350" w:type="dxa"/>
            <w:vAlign w:val="center"/>
          </w:tcPr>
          <w:p w14:paraId="51C0513D" w14:textId="330DB110" w:rsidR="00C5273F" w:rsidRPr="00C5273F" w:rsidRDefault="00C5273F" w:rsidP="00C5273F">
            <w:pPr>
              <w:pStyle w:val="Newdevelopmentsubbullet"/>
            </w:pPr>
            <w:r w:rsidRPr="002A1724">
              <w:rPr>
                <w:bCs/>
                <w:spacing w:val="-3"/>
              </w:rPr>
              <w:t>First Nations Land Management Resource Centre (</w:t>
            </w:r>
            <w:hyperlink r:id="rId12" w:history="1">
              <w:r w:rsidRPr="002A1724">
                <w:rPr>
                  <w:rStyle w:val="Hyperlink"/>
                  <w:bCs/>
                  <w:spacing w:val="-3"/>
                </w:rPr>
                <w:t>www.labrc.com</w:t>
              </w:r>
            </w:hyperlink>
            <w:r w:rsidRPr="002A1724">
              <w:rPr>
                <w:bCs/>
                <w:spacing w:val="-3"/>
              </w:rPr>
              <w:t>) for First Nation signatories operating under a land code and maintaining their own register of interests in their lands;</w:t>
            </w:r>
          </w:p>
        </w:tc>
      </w:tr>
      <w:tr w:rsidR="00C5273F" w14:paraId="197EF22E" w14:textId="77777777" w:rsidTr="008A69BF">
        <w:tc>
          <w:tcPr>
            <w:tcW w:w="9350" w:type="dxa"/>
            <w:vAlign w:val="center"/>
          </w:tcPr>
          <w:p w14:paraId="221CA5C9" w14:textId="77777777" w:rsidR="00C5273F" w:rsidRPr="00AE13FA" w:rsidRDefault="00C5273F" w:rsidP="00C5273F">
            <w:pPr>
              <w:pStyle w:val="Newdevelopmentsubbullet"/>
            </w:pPr>
            <w:r w:rsidRPr="002A1724">
              <w:rPr>
                <w:bCs/>
                <w:spacing w:val="-3"/>
              </w:rPr>
              <w:t>Self-Governing First Nations Land Register for First Nations operating under the terms of self-government agreements;</w:t>
            </w:r>
          </w:p>
          <w:p w14:paraId="0F610EBC" w14:textId="0910D6A3" w:rsidR="00C5273F" w:rsidRPr="00C5273F" w:rsidRDefault="00C5273F" w:rsidP="00C5273F">
            <w:pPr>
              <w:pStyle w:val="Newdevelopmentsubbullet"/>
              <w:numPr>
                <w:ilvl w:val="0"/>
                <w:numId w:val="7"/>
              </w:numPr>
            </w:pPr>
            <w:r w:rsidRPr="002A1724">
              <w:rPr>
                <w:bCs/>
                <w:spacing w:val="-3"/>
              </w:rPr>
              <w:t>the Nis</w:t>
            </w:r>
            <w:r w:rsidRPr="00970EAD">
              <w:rPr>
                <w:bCs/>
                <w:spacing w:val="-3"/>
                <w:u w:val="single"/>
              </w:rPr>
              <w:t>g</w:t>
            </w:r>
            <w:r w:rsidRPr="002A1724">
              <w:rPr>
                <w:bCs/>
                <w:spacing w:val="-3"/>
              </w:rPr>
              <w:t>a’a Nation created their own land title system based on the Torrens system;</w:t>
            </w:r>
          </w:p>
        </w:tc>
      </w:tr>
    </w:tbl>
    <w:p w14:paraId="3BCB048D" w14:textId="77777777" w:rsidR="00893D43" w:rsidRDefault="00893D4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5273F" w14:paraId="418DAEBC" w14:textId="77777777" w:rsidTr="008A69BF">
        <w:tc>
          <w:tcPr>
            <w:tcW w:w="9350" w:type="dxa"/>
            <w:vAlign w:val="center"/>
          </w:tcPr>
          <w:p w14:paraId="6B99EAD7" w14:textId="70710B4A" w:rsidR="00C5273F" w:rsidRPr="00550A50" w:rsidRDefault="00C5273F" w:rsidP="00C5273F">
            <w:pPr>
              <w:pStyle w:val="Newdevelopmentsubbullet"/>
            </w:pPr>
            <w:r w:rsidRPr="002A1724">
              <w:rPr>
                <w:bCs/>
                <w:spacing w:val="-3"/>
              </w:rPr>
              <w:lastRenderedPageBreak/>
              <w:t>Land Title Survey Authority of British Columbia;</w:t>
            </w:r>
          </w:p>
          <w:p w14:paraId="257CD896" w14:textId="25E21877" w:rsidR="00C5273F" w:rsidRPr="00C5273F" w:rsidRDefault="00C5273F" w:rsidP="00C5273F">
            <w:pPr>
              <w:pStyle w:val="Newdevelopmentsubbullet"/>
              <w:numPr>
                <w:ilvl w:val="0"/>
                <w:numId w:val="8"/>
              </w:numPr>
            </w:pPr>
            <w:r w:rsidRPr="002A1724">
              <w:rPr>
                <w:bCs/>
                <w:spacing w:val="-3"/>
              </w:rPr>
              <w:t xml:space="preserve">the Tsawwassen First Nation negotiated to have their lands registered under the provincial land title system as part of their treaty, though special sections of the </w:t>
            </w:r>
            <w:r w:rsidRPr="002A1724">
              <w:rPr>
                <w:bCs/>
                <w:i/>
                <w:spacing w:val="-3"/>
              </w:rPr>
              <w:t>Land Title Act</w:t>
            </w:r>
            <w:r w:rsidRPr="002A1724">
              <w:rPr>
                <w:bCs/>
                <w:spacing w:val="-3"/>
              </w:rPr>
              <w:t xml:space="preserve"> apply to these lands;</w:t>
            </w:r>
          </w:p>
        </w:tc>
      </w:tr>
      <w:tr w:rsidR="00C5273F" w14:paraId="34E3E152" w14:textId="77777777" w:rsidTr="008A69BF">
        <w:tc>
          <w:tcPr>
            <w:tcW w:w="9350" w:type="dxa"/>
            <w:vAlign w:val="center"/>
          </w:tcPr>
          <w:p w14:paraId="2B2999E9" w14:textId="77777777" w:rsidR="00C5273F" w:rsidRPr="00550A50" w:rsidRDefault="00C5273F" w:rsidP="00C5273F">
            <w:pPr>
              <w:pStyle w:val="Newdevelopmentsubbullet"/>
            </w:pPr>
            <w:r w:rsidRPr="002A1724">
              <w:rPr>
                <w:bCs/>
                <w:spacing w:val="-3"/>
              </w:rPr>
              <w:t xml:space="preserve">Indian Land Registry System (“ILRS”) for records on interests in reserve and surrendered lands, pursuant to and as defined under the </w:t>
            </w:r>
            <w:r w:rsidRPr="002A1724">
              <w:rPr>
                <w:bCs/>
                <w:i/>
                <w:spacing w:val="-3"/>
              </w:rPr>
              <w:t>Indian Act</w:t>
            </w:r>
            <w:r w:rsidRPr="002A1724">
              <w:rPr>
                <w:bCs/>
                <w:spacing w:val="-3"/>
              </w:rPr>
              <w:t>, R.S.C. 1985, c. I-5;</w:t>
            </w:r>
          </w:p>
          <w:p w14:paraId="73CA59CC" w14:textId="4D0C4CF0" w:rsidR="00C5273F" w:rsidRPr="00C5273F" w:rsidRDefault="00C5273F" w:rsidP="00C5273F">
            <w:pPr>
              <w:pStyle w:val="Newdevelopmentsubbullet"/>
              <w:numPr>
                <w:ilvl w:val="0"/>
                <w:numId w:val="9"/>
              </w:numPr>
            </w:pPr>
            <w:r w:rsidRPr="002A1724">
              <w:rPr>
                <w:bCs/>
                <w:spacing w:val="-3"/>
              </w:rPr>
              <w:t xml:space="preserve">the Crown-Indigenous Relations and Northern Affairs Canada supports some First Nations in British Columbia in managing their lands and through maintaining the ILRS, although the ILRS is an information system only and does not create priority (except in the case of a registered assignment having priority over an unregistered assignment by s. 55(4) of the </w:t>
            </w:r>
            <w:r w:rsidRPr="002A1724">
              <w:rPr>
                <w:bCs/>
                <w:i/>
                <w:spacing w:val="-3"/>
              </w:rPr>
              <w:t>Indian Act</w:t>
            </w:r>
            <w:r w:rsidRPr="002A1724">
              <w:rPr>
                <w:bCs/>
                <w:spacing w:val="-3"/>
              </w:rPr>
              <w:t>).</w:t>
            </w:r>
          </w:p>
        </w:tc>
      </w:tr>
      <w:tr w:rsidR="00C5273F" w14:paraId="38B499D5" w14:textId="77777777" w:rsidTr="008A69BF">
        <w:tc>
          <w:tcPr>
            <w:tcW w:w="9350" w:type="dxa"/>
            <w:vAlign w:val="center"/>
          </w:tcPr>
          <w:p w14:paraId="4D3D034E" w14:textId="407FD59C" w:rsidR="00C5273F" w:rsidRPr="002A1724" w:rsidRDefault="00C5273F" w:rsidP="00C5273F">
            <w:pPr>
              <w:pStyle w:val="Newdevelopmentbulletfirstlevel"/>
              <w:numPr>
                <w:ilvl w:val="0"/>
                <w:numId w:val="0"/>
              </w:numPr>
              <w:ind w:left="576"/>
              <w:rPr>
                <w:b/>
                <w:bCs/>
                <w:spacing w:val="-3"/>
              </w:rPr>
            </w:pPr>
            <w:r w:rsidRPr="002A1724">
              <w:rPr>
                <w:bCs/>
                <w:spacing w:val="-3"/>
              </w:rPr>
              <w:t xml:space="preserve">If a leasehold interest in First Nations lands subject to the </w:t>
            </w:r>
            <w:r w:rsidRPr="00970EAD">
              <w:rPr>
                <w:bCs/>
                <w:i/>
                <w:spacing w:val="-3"/>
              </w:rPr>
              <w:t>Indian Act</w:t>
            </w:r>
            <w:r w:rsidRPr="002A1724">
              <w:rPr>
                <w:bCs/>
                <w:spacing w:val="-3"/>
              </w:rPr>
              <w:t xml:space="preserve"> will be mortgaged, note that a lease on First Nations lands to a First Nations person can only be mortgaged and seized if the land is designated (</w:t>
            </w:r>
            <w:r w:rsidRPr="00970EAD">
              <w:rPr>
                <w:bCs/>
                <w:i/>
                <w:spacing w:val="-3"/>
              </w:rPr>
              <w:t>Indian Act</w:t>
            </w:r>
            <w:r w:rsidRPr="002A1724">
              <w:rPr>
                <w:bCs/>
                <w:spacing w:val="-3"/>
              </w:rPr>
              <w:t xml:space="preserve">, s. 89(1.1)). A lease to a First Nations person on lands that are held by a First Nations person under a certificate of possession does not have the same exemption from the protective effect of s. 89(1) of the </w:t>
            </w:r>
            <w:r w:rsidRPr="00C428ED">
              <w:rPr>
                <w:bCs/>
                <w:spacing w:val="-3"/>
              </w:rPr>
              <w:t>Act. Further information on Aboriginal law issues is available on the “Aboriginal Law” page in the “Practice Areas” section of the Continuing Legal Education Society of British Columbia website (</w:t>
            </w:r>
            <w:hyperlink r:id="rId13" w:history="1">
              <w:r w:rsidRPr="00C428ED">
                <w:rPr>
                  <w:rStyle w:val="Hyperlink"/>
                  <w:bCs/>
                  <w:spacing w:val="-3"/>
                </w:rPr>
                <w:t>www.cle.bc.ca</w:t>
              </w:r>
            </w:hyperlink>
            <w:r w:rsidRPr="00C428ED">
              <w:rPr>
                <w:bCs/>
                <w:spacing w:val="-3"/>
              </w:rPr>
              <w:t>) and</w:t>
            </w:r>
            <w:r w:rsidRPr="002A1724">
              <w:rPr>
                <w:bCs/>
                <w:spacing w:val="-3"/>
              </w:rPr>
              <w:t xml:space="preserve"> in other CLEBC publications.</w:t>
            </w:r>
          </w:p>
        </w:tc>
      </w:tr>
      <w:tr w:rsidR="00FC1FB3" w14:paraId="4732BBBD" w14:textId="77777777" w:rsidTr="008A69BF">
        <w:tc>
          <w:tcPr>
            <w:tcW w:w="9350" w:type="dxa"/>
            <w:vAlign w:val="center"/>
          </w:tcPr>
          <w:p w14:paraId="0F4BC844" w14:textId="36F964D5" w:rsidR="00FC1FB3" w:rsidRPr="000D4BF9" w:rsidRDefault="00FC1FB3" w:rsidP="00A8366A">
            <w:pPr>
              <w:pStyle w:val="Newdevelopmentbulletfirstlevel"/>
              <w:rPr>
                <w:rStyle w:val="SmallCaps"/>
                <w:rFonts w:ascii="Times New Roman" w:hAnsi="Times New Roman"/>
                <w:sz w:val="22"/>
              </w:rPr>
            </w:pPr>
            <w:r w:rsidRPr="000D4BF9">
              <w:rPr>
                <w:b/>
              </w:rPr>
              <w:t>Money laundering, fraud, and real estate.</w:t>
            </w:r>
            <w:r w:rsidRPr="000D4BF9">
              <w:t xml:space="preserve"> </w:t>
            </w:r>
            <w:r w:rsidR="00962FF1">
              <w:t>M</w:t>
            </w:r>
            <w:r w:rsidRPr="000D4BF9">
              <w:t>oney laundering</w:t>
            </w:r>
            <w:r w:rsidR="00962FF1">
              <w:t xml:space="preserve"> and fraud</w:t>
            </w:r>
            <w:r w:rsidRPr="000D4BF9">
              <w:t xml:space="preserve"> in</w:t>
            </w:r>
            <w:r w:rsidR="00962FF1">
              <w:t xml:space="preserve"> real estate</w:t>
            </w:r>
            <w:r w:rsidRPr="000D4BF9">
              <w:t xml:space="preserve"> </w:t>
            </w:r>
            <w:r w:rsidR="00962FF1">
              <w:t>and mortgage transactions are</w:t>
            </w:r>
            <w:r w:rsidRPr="000D4BF9">
              <w:t xml:space="preserve"> a concern. </w:t>
            </w:r>
          </w:p>
          <w:p w14:paraId="727BC7C9" w14:textId="03328D47" w:rsidR="00962FF1" w:rsidRDefault="00962FF1" w:rsidP="00FC1FB3">
            <w:pPr>
              <w:pStyle w:val="Newdevelopmentbulletfirstlevel"/>
              <w:numPr>
                <w:ilvl w:val="0"/>
                <w:numId w:val="0"/>
              </w:numPr>
              <w:ind w:left="576"/>
            </w:pPr>
            <w:r>
              <w:t>C</w:t>
            </w:r>
            <w:r w:rsidR="00FC1FB3" w:rsidRPr="000D4BF9">
              <w:t xml:space="preserve">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w:t>
            </w:r>
            <w:r>
              <w:t xml:space="preserve">and make a record of the results of their inquiries </w:t>
            </w:r>
            <w:r w:rsidR="00FC1FB3" w:rsidRPr="000D4BF9">
              <w:t>(</w:t>
            </w:r>
            <w:r w:rsidR="00E33E7D" w:rsidRPr="00026C00">
              <w:rPr>
                <w:i/>
                <w:iCs/>
              </w:rPr>
              <w:t>Code of Professional Conduct for British Columbia</w:t>
            </w:r>
            <w:r w:rsidR="00E33E7D">
              <w:t xml:space="preserve"> (the “</w:t>
            </w:r>
            <w:r w:rsidR="00FC1FB3" w:rsidRPr="000D4BF9">
              <w:rPr>
                <w:i/>
              </w:rPr>
              <w:t>BC Code</w:t>
            </w:r>
            <w:r w:rsidR="00E33E7D">
              <w:rPr>
                <w:iCs/>
              </w:rPr>
              <w:t>”)</w:t>
            </w:r>
            <w:r w:rsidR="00FC1FB3" w:rsidRPr="000D4BF9">
              <w:t xml:space="preserve">, rules 3.2-7 and 3.2-8 and Law Society Rules 3-103(4), 3-109 and 3-110). </w:t>
            </w:r>
          </w:p>
          <w:p w14:paraId="0D631506" w14:textId="22D615BE" w:rsidR="00962FF1" w:rsidRPr="00962FF1" w:rsidRDefault="00962FF1" w:rsidP="00AE48EE">
            <w:pPr>
              <w:pStyle w:val="Newdevelopmentbulletfirstlevel"/>
              <w:numPr>
                <w:ilvl w:val="0"/>
                <w:numId w:val="0"/>
              </w:numPr>
              <w:ind w:left="576"/>
            </w:pPr>
            <w:r w:rsidRPr="00962FF1">
              <w:t xml:space="preserve">See the anti-money laundering and fraud resources on the </w:t>
            </w:r>
            <w:r w:rsidR="0034184E">
              <w:t>“</w:t>
            </w:r>
            <w:hyperlink r:id="rId14" w:history="1">
              <w:r w:rsidRPr="00962FF1">
                <w:rPr>
                  <w:rStyle w:val="Hyperlink"/>
                </w:rPr>
                <w:t xml:space="preserve">Law Society’s “Client ID &amp; Verification” </w:t>
              </w:r>
              <w:r w:rsidR="0034184E">
                <w:rPr>
                  <w:rStyle w:val="Hyperlink"/>
                </w:rPr>
                <w:t xml:space="preserve">resources </w:t>
              </w:r>
              <w:r w:rsidRPr="00962FF1">
                <w:rPr>
                  <w:rStyle w:val="Hyperlink"/>
                </w:rPr>
                <w:t>webpage</w:t>
              </w:r>
            </w:hyperlink>
            <w:r w:rsidRPr="00962FF1">
              <w:t>, including: “</w:t>
            </w:r>
            <w:hyperlink r:id="rId15" w:history="1">
              <w:r w:rsidRPr="00962FF1">
                <w:rPr>
                  <w:rStyle w:val="Hyperlink"/>
                </w:rPr>
                <w:t>Real Estate Transactions—Know Your Client Primer</w:t>
              </w:r>
            </w:hyperlink>
            <w:r w:rsidRPr="00962FF1">
              <w:rPr>
                <w:u w:val="single"/>
              </w:rPr>
              <w:t>”</w:t>
            </w:r>
            <w:r w:rsidRPr="00962FF1">
              <w:t xml:space="preserve">; “Source of Money FAQs”; “Fraud 101 for Lawyers”; “Risk Assessment Case Studies for the Legal Profession”; “Red Flags Quick Reference Guide”; “Risk Advisories for the Legal Profession”; “Canadian Sanctions Related to Russia and Belarus: Implications for the Profession”; and free online Law Society and Federation of Law Societies of Canada courses. </w:t>
            </w:r>
          </w:p>
          <w:p w14:paraId="2D2A4B4A" w14:textId="77777777" w:rsidR="00962FF1" w:rsidRDefault="00962FF1" w:rsidP="00962FF1">
            <w:pPr>
              <w:pStyle w:val="Newdevelopmentbulletfirstlevel"/>
              <w:numPr>
                <w:ilvl w:val="0"/>
                <w:numId w:val="0"/>
              </w:numPr>
              <w:ind w:left="576"/>
              <w:rPr>
                <w:lang w:val="en-US"/>
              </w:rPr>
            </w:pPr>
            <w:r w:rsidRPr="00962FF1">
              <w:t xml:space="preserve">See the Lawyers Indemnity Fund (“LIF”) </w:t>
            </w:r>
            <w:hyperlink r:id="rId16" w:history="1">
              <w:r w:rsidRPr="00962FF1">
                <w:rPr>
                  <w:rStyle w:val="Hyperlink"/>
                </w:rPr>
                <w:t>webpage</w:t>
              </w:r>
            </w:hyperlink>
            <w:r w:rsidRPr="00962FF1">
              <w:t xml:space="preserve"> regarding real estate fraud and risk management.</w:t>
            </w:r>
            <w:r w:rsidRPr="00962FF1">
              <w:rPr>
                <w:lang w:val="en-US"/>
              </w:rPr>
              <w:t xml:space="preserve"> The transfer of funds instructions should be verified by telephone or meeting with a client in person. See LIF’s </w:t>
            </w:r>
            <w:hyperlink r:id="rId17" w:history="1">
              <w:r w:rsidRPr="00962FF1">
                <w:rPr>
                  <w:rStyle w:val="Hyperlink"/>
                  <w:lang w:val="en-US"/>
                </w:rPr>
                <w:t xml:space="preserve">Funds Transfer Instructions Verification Checklist. </w:t>
              </w:r>
            </w:hyperlink>
            <w:r w:rsidRPr="00962FF1">
              <w:rPr>
                <w:lang w:val="en-US"/>
              </w:rPr>
              <w:t xml:space="preserve"> </w:t>
            </w:r>
          </w:p>
          <w:p w14:paraId="7EE235B1" w14:textId="39078345" w:rsidR="00FC1FB3" w:rsidRPr="00AE48EE" w:rsidRDefault="0034184E" w:rsidP="00AE48EE">
            <w:pPr>
              <w:pStyle w:val="Newdevelopmentbulletfirstlevel"/>
              <w:numPr>
                <w:ilvl w:val="0"/>
                <w:numId w:val="0"/>
              </w:numPr>
              <w:ind w:left="576"/>
              <w:rPr>
                <w:lang w:val="en-US"/>
              </w:rPr>
            </w:pPr>
            <w:r w:rsidRPr="0034184E">
              <w:rPr>
                <w:lang w:val="en-US"/>
              </w:rPr>
              <w:t xml:space="preserve">Also see the </w:t>
            </w:r>
            <w:hyperlink r:id="rId18" w:history="1">
              <w:r w:rsidRPr="0034184E">
                <w:rPr>
                  <w:rStyle w:val="Hyperlink"/>
                  <w:lang w:val="en-US"/>
                </w:rPr>
                <w:t>Discipline Advisories</w:t>
              </w:r>
            </w:hyperlink>
            <w:r w:rsidRPr="0034184E">
              <w:rPr>
                <w:lang w:val="en-US"/>
              </w:rPr>
              <w:t xml:space="preserve">, which include topics such as Client ID &amp; Verification, Country/geographic risk, and Private lending. Lawyers may contact a Law Society practice advisor at </w:t>
            </w:r>
            <w:hyperlink r:id="rId19" w:history="1">
              <w:r w:rsidRPr="0034184E">
                <w:rPr>
                  <w:rStyle w:val="Hyperlink"/>
                  <w:lang w:val="en-US"/>
                </w:rPr>
                <w:t>practiceadvice@lsbc.org</w:t>
              </w:r>
            </w:hyperlink>
            <w:r w:rsidRPr="0034184E">
              <w:rPr>
                <w:lang w:val="en-US"/>
              </w:rPr>
              <w:t xml:space="preserve"> for a consultation about the applicable </w:t>
            </w:r>
            <w:r w:rsidRPr="0034184E">
              <w:rPr>
                <w:i/>
                <w:lang w:val="en-US"/>
              </w:rPr>
              <w:t xml:space="preserve">BC Code </w:t>
            </w:r>
            <w:r w:rsidRPr="0034184E">
              <w:rPr>
                <w:lang w:val="en-US"/>
              </w:rPr>
              <w:t xml:space="preserve">rules and Law Society Rules and obtain guidance. </w:t>
            </w:r>
          </w:p>
        </w:tc>
      </w:tr>
    </w:tbl>
    <w:p w14:paraId="510CF479" w14:textId="77777777" w:rsidR="00893D43" w:rsidRDefault="00893D4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C1FB3" w14:paraId="16C8CA3C" w14:textId="77777777" w:rsidTr="008A69BF">
        <w:tc>
          <w:tcPr>
            <w:tcW w:w="9350" w:type="dxa"/>
            <w:vAlign w:val="center"/>
          </w:tcPr>
          <w:p w14:paraId="7696EB2B" w14:textId="53A7379A" w:rsidR="00FC1FB3" w:rsidRPr="00970EAD" w:rsidRDefault="0034184E" w:rsidP="00A8366A">
            <w:pPr>
              <w:pStyle w:val="Newdevelopmentbulletfirstlevel"/>
              <w:rPr>
                <w:b/>
              </w:rPr>
            </w:pPr>
            <w:r>
              <w:rPr>
                <w:b/>
                <w:bCs/>
              </w:rPr>
              <w:lastRenderedPageBreak/>
              <w:t>Private m</w:t>
            </w:r>
            <w:r w:rsidR="00FC1FB3" w:rsidRPr="002A1724">
              <w:rPr>
                <w:b/>
                <w:bCs/>
              </w:rPr>
              <w:t>ortgage</w:t>
            </w:r>
            <w:r>
              <w:rPr>
                <w:b/>
                <w:bCs/>
              </w:rPr>
              <w:t xml:space="preserve"> broker</w:t>
            </w:r>
            <w:r w:rsidR="00FC1FB3" w:rsidRPr="002A1724">
              <w:rPr>
                <w:b/>
                <w:bCs/>
              </w:rPr>
              <w:t xml:space="preserve"> fraud</w:t>
            </w:r>
            <w:r>
              <w:rPr>
                <w:b/>
                <w:bCs/>
              </w:rPr>
              <w:t>.</w:t>
            </w:r>
            <w:r w:rsidR="00FC1FB3" w:rsidRPr="002A1724">
              <w:rPr>
                <w:bCs/>
              </w:rPr>
              <w:t xml:space="preserve"> </w:t>
            </w:r>
            <w:r>
              <w:rPr>
                <w:bCs/>
              </w:rPr>
              <w:t>A</w:t>
            </w:r>
            <w:r w:rsidR="00FC1FB3" w:rsidRPr="002A1724">
              <w:rPr>
                <w:bCs/>
              </w:rPr>
              <w:t xml:space="preserve">n individual posed as a private mortgage broker to place fraudulent mortgages on homes without the owner’s knowledge. </w:t>
            </w:r>
            <w:r>
              <w:rPr>
                <w:bCs/>
              </w:rPr>
              <w:t>In addition to verifying you</w:t>
            </w:r>
            <w:r w:rsidR="00BA54B5">
              <w:rPr>
                <w:bCs/>
              </w:rPr>
              <w:t>r</w:t>
            </w:r>
            <w:r>
              <w:rPr>
                <w:bCs/>
              </w:rPr>
              <w:t xml:space="preserve"> client’s identity, if a mortgage broker is involved, consider checking</w:t>
            </w:r>
            <w:r w:rsidR="00F66C07">
              <w:rPr>
                <w:bCs/>
              </w:rPr>
              <w:t xml:space="preserve"> the BC Financial Service Authority’s list of mortgage brokers and </w:t>
            </w:r>
            <w:proofErr w:type="spellStart"/>
            <w:r w:rsidR="00F66C07">
              <w:rPr>
                <w:bCs/>
              </w:rPr>
              <w:t>submortgage</w:t>
            </w:r>
            <w:proofErr w:type="spellEnd"/>
            <w:r w:rsidR="00F66C07">
              <w:rPr>
                <w:bCs/>
              </w:rPr>
              <w:t xml:space="preserve"> brokers </w:t>
            </w:r>
            <w:r w:rsidR="00FC1FB3" w:rsidRPr="002A1724">
              <w:rPr>
                <w:bCs/>
              </w:rPr>
              <w:t xml:space="preserve">registered under the </w:t>
            </w:r>
            <w:r w:rsidR="00FC1FB3" w:rsidRPr="002A1724">
              <w:rPr>
                <w:bCs/>
                <w:i/>
              </w:rPr>
              <w:t>Mortgage Brokers Act</w:t>
            </w:r>
            <w:r w:rsidR="00FC1FB3" w:rsidRPr="002A1724">
              <w:rPr>
                <w:bCs/>
              </w:rPr>
              <w:t>, R.S.B.C. 1996, c. 313.</w:t>
            </w:r>
          </w:p>
        </w:tc>
      </w:tr>
      <w:tr w:rsidR="006C189C" w14:paraId="457B478A" w14:textId="77777777" w:rsidTr="008A69BF">
        <w:tc>
          <w:tcPr>
            <w:tcW w:w="9350" w:type="dxa"/>
            <w:vAlign w:val="center"/>
          </w:tcPr>
          <w:p w14:paraId="4B924559" w14:textId="46361C51" w:rsidR="006C189C" w:rsidRDefault="0024237C" w:rsidP="00E8707E">
            <w:pPr>
              <w:pStyle w:val="Newdevelopmentbulletfirstlevel"/>
            </w:pPr>
            <w:r w:rsidRPr="0024237C">
              <w:rPr>
                <w:b/>
              </w:rPr>
              <w:t>Law Society of British Columbia.</w:t>
            </w:r>
            <w:r>
              <w:t xml:space="preserve"> </w:t>
            </w:r>
            <w:r w:rsidR="000B1AAE" w:rsidRPr="002A1724">
              <w:rPr>
                <w:bCs/>
              </w:rPr>
              <w:t xml:space="preserve">For changes to the Law Society Rules and other Law Society updates and issues “of note”, see </w:t>
            </w:r>
            <w:r w:rsidR="000B1AAE" w:rsidRPr="002A1724">
              <w:rPr>
                <w:smallCaps/>
              </w:rPr>
              <w:t>law society notable updates list</w:t>
            </w:r>
            <w:r w:rsidR="000B1AAE" w:rsidRPr="002A1724">
              <w:rPr>
                <w:bCs/>
                <w:smallCaps/>
              </w:rPr>
              <w:t xml:space="preserve"> (</w:t>
            </w:r>
            <w:r w:rsidR="000B1AAE" w:rsidRPr="002A1724">
              <w:rPr>
                <w:bCs/>
              </w:rPr>
              <w:t>A-3).</w:t>
            </w:r>
          </w:p>
        </w:tc>
      </w:tr>
      <w:tr w:rsidR="006C189C" w14:paraId="0014BA10" w14:textId="77777777" w:rsidTr="008A69BF">
        <w:tc>
          <w:tcPr>
            <w:tcW w:w="9350" w:type="dxa"/>
            <w:vAlign w:val="center"/>
          </w:tcPr>
          <w:p w14:paraId="5C1A82B1" w14:textId="61AC04B2" w:rsidR="001844A5" w:rsidRPr="001844A5" w:rsidRDefault="00743584" w:rsidP="004E60AD">
            <w:pPr>
              <w:pStyle w:val="Newdevelopmentbulletfirstlevel"/>
            </w:pPr>
            <w:r>
              <w:br w:type="page"/>
            </w:r>
            <w:r w:rsidR="00AE48EE">
              <w:br w:type="page"/>
            </w:r>
            <w:r w:rsidR="0024237C" w:rsidRPr="0024237C">
              <w:rPr>
                <w:b/>
              </w:rPr>
              <w:t>Additional resources.</w:t>
            </w:r>
            <w:r w:rsidR="0024237C">
              <w:t xml:space="preserve"> </w:t>
            </w:r>
            <w:r w:rsidR="000B1AAE" w:rsidRPr="002A1724">
              <w:t xml:space="preserve">See the prescribed standard mortgage terms in the </w:t>
            </w:r>
            <w:r w:rsidR="000B1AAE" w:rsidRPr="000B1AAE">
              <w:rPr>
                <w:rStyle w:val="Italics"/>
                <w:rFonts w:ascii="Times New Roman" w:hAnsi="Times New Roman"/>
                <w:sz w:val="22"/>
              </w:rPr>
              <w:t>British Columbia Mortgages Practice Manual</w:t>
            </w:r>
            <w:r w:rsidR="000B1AAE" w:rsidRPr="000B1AAE">
              <w:t xml:space="preserve"> </w:t>
            </w:r>
            <w:r w:rsidR="000B1AAE" w:rsidRPr="002A1724">
              <w:t>(CLEBC, 1992-)</w:t>
            </w:r>
            <w:r w:rsidR="001844A5">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113B835C"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56C2B3CF" w:rsidR="002662C2" w:rsidRPr="000B1AAE" w:rsidRDefault="000B1AAE" w:rsidP="002662C2">
            <w:pPr>
              <w:pStyle w:val="ListParagraph"/>
              <w:numPr>
                <w:ilvl w:val="0"/>
                <w:numId w:val="6"/>
              </w:numPr>
              <w:spacing w:before="80" w:after="80"/>
              <w:rPr>
                <w:rFonts w:cs="Times New Roman"/>
                <w:b w:val="0"/>
                <w:bCs w:val="0"/>
              </w:rPr>
            </w:pPr>
            <w:r w:rsidRPr="000B1AAE">
              <w:rPr>
                <w:b w:val="0"/>
                <w:bCs w:val="0"/>
              </w:rPr>
              <w:t>Preliminary Matters</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04FD09DA" w:rsidR="002662C2" w:rsidRPr="000B1AAE" w:rsidRDefault="000B1AAE" w:rsidP="002662C2">
            <w:pPr>
              <w:pStyle w:val="ListParagraph"/>
              <w:numPr>
                <w:ilvl w:val="0"/>
                <w:numId w:val="6"/>
              </w:numPr>
              <w:spacing w:before="80" w:after="80"/>
              <w:rPr>
                <w:rFonts w:cs="Times New Roman"/>
                <w:b w:val="0"/>
                <w:bCs w:val="0"/>
              </w:rPr>
            </w:pPr>
            <w:r w:rsidRPr="000B1AAE">
              <w:rPr>
                <w:b w:val="0"/>
                <w:bCs w:val="0"/>
              </w:rPr>
              <w:t>Date and Introductory Clauses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0E0DA604" w:rsidR="002662C2"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Identification of Parties</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6E5D1134" w:rsidR="002662C2"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Description of Property</w:t>
            </w:r>
          </w:p>
        </w:tc>
      </w:tr>
      <w:tr w:rsidR="000B1AAE" w14:paraId="38AE5CE5" w14:textId="77777777" w:rsidTr="000B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FC2A130" w14:textId="5B80F101"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Grant of Mortgage</w:t>
            </w:r>
          </w:p>
        </w:tc>
      </w:tr>
      <w:tr w:rsidR="000B1AAE" w14:paraId="7CF8F795" w14:textId="77777777" w:rsidTr="000B1AAE">
        <w:tc>
          <w:tcPr>
            <w:cnfStyle w:val="001000000000" w:firstRow="0" w:lastRow="0" w:firstColumn="1" w:lastColumn="0" w:oddVBand="0" w:evenVBand="0" w:oddHBand="0" w:evenHBand="0" w:firstRowFirstColumn="0" w:firstRowLastColumn="0" w:lastRowFirstColumn="0" w:lastRowLastColumn="0"/>
            <w:tcW w:w="9350" w:type="dxa"/>
          </w:tcPr>
          <w:p w14:paraId="583178ED" w14:textId="2FFD7E88"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Payment</w:t>
            </w:r>
          </w:p>
        </w:tc>
      </w:tr>
      <w:tr w:rsidR="000B1AAE" w14:paraId="048C6DD4" w14:textId="77777777" w:rsidTr="000B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AFCEFE7" w14:textId="3BA9E7F3"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Express Exclusion of Specified Land Transfer Form Act Clauses</w:t>
            </w:r>
          </w:p>
        </w:tc>
      </w:tr>
      <w:tr w:rsidR="000B1AAE" w14:paraId="33014A2D" w14:textId="77777777" w:rsidTr="000B1AAE">
        <w:tc>
          <w:tcPr>
            <w:cnfStyle w:val="001000000000" w:firstRow="0" w:lastRow="0" w:firstColumn="1" w:lastColumn="0" w:oddVBand="0" w:evenVBand="0" w:oddHBand="0" w:evenHBand="0" w:firstRowFirstColumn="0" w:firstRowLastColumn="0" w:lastRowFirstColumn="0" w:lastRowLastColumn="0"/>
            <w:tcW w:w="9350" w:type="dxa"/>
          </w:tcPr>
          <w:p w14:paraId="24A6EDE6" w14:textId="7751079A"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Borrower’s Representations and Covenants</w:t>
            </w:r>
          </w:p>
        </w:tc>
      </w:tr>
      <w:tr w:rsidR="000B1AAE" w14:paraId="53638062" w14:textId="77777777" w:rsidTr="000B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92CA31" w14:textId="3366F71A"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Lender’s Covenants</w:t>
            </w:r>
          </w:p>
        </w:tc>
      </w:tr>
      <w:tr w:rsidR="000B1AAE" w14:paraId="5306B9B1" w14:textId="77777777" w:rsidTr="000B1AAE">
        <w:tc>
          <w:tcPr>
            <w:cnfStyle w:val="001000000000" w:firstRow="0" w:lastRow="0" w:firstColumn="1" w:lastColumn="0" w:oddVBand="0" w:evenVBand="0" w:oddHBand="0" w:evenHBand="0" w:firstRowFirstColumn="0" w:firstRowLastColumn="0" w:lastRowFirstColumn="0" w:lastRowLastColumn="0"/>
            <w:tcW w:w="9350" w:type="dxa"/>
          </w:tcPr>
          <w:p w14:paraId="79AF3EBC" w14:textId="2A41FC54"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Default</w:t>
            </w:r>
          </w:p>
        </w:tc>
      </w:tr>
      <w:tr w:rsidR="000B1AAE" w14:paraId="7B273574" w14:textId="77777777" w:rsidTr="000B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FC9C8BF" w14:textId="4EEF880E" w:rsidR="000B1AAE" w:rsidRPr="000B1AAE" w:rsidRDefault="000B1AAE" w:rsidP="002662C2">
            <w:pPr>
              <w:pStyle w:val="ListParagraph"/>
              <w:numPr>
                <w:ilvl w:val="0"/>
                <w:numId w:val="6"/>
              </w:numPr>
              <w:spacing w:before="80" w:after="80"/>
              <w:rPr>
                <w:rFonts w:cs="Times New Roman"/>
                <w:b w:val="0"/>
                <w:bCs w:val="0"/>
              </w:rPr>
            </w:pPr>
            <w:r w:rsidRPr="000B1AAE">
              <w:rPr>
                <w:b w:val="0"/>
                <w:bCs w:val="0"/>
              </w:rPr>
              <w:t>Enforcement</w:t>
            </w:r>
          </w:p>
        </w:tc>
      </w:tr>
      <w:tr w:rsidR="000B1AAE" w14:paraId="537A123E" w14:textId="77777777" w:rsidTr="000B1AAE">
        <w:tc>
          <w:tcPr>
            <w:cnfStyle w:val="001000000000" w:firstRow="0" w:lastRow="0" w:firstColumn="1" w:lastColumn="0" w:oddVBand="0" w:evenVBand="0" w:oddHBand="0" w:evenHBand="0" w:firstRowFirstColumn="0" w:firstRowLastColumn="0" w:lastRowFirstColumn="0" w:lastRowLastColumn="0"/>
            <w:tcW w:w="9350" w:type="dxa"/>
          </w:tcPr>
          <w:p w14:paraId="25A203D7" w14:textId="38F8168F"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Other Rights of the Lender</w:t>
            </w:r>
          </w:p>
        </w:tc>
      </w:tr>
      <w:tr w:rsidR="000B1AAE" w14:paraId="17B02AE4" w14:textId="77777777" w:rsidTr="000B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2300803" w14:textId="58596248"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Security Provisions</w:t>
            </w:r>
          </w:p>
        </w:tc>
      </w:tr>
      <w:tr w:rsidR="000B1AAE" w14:paraId="04303915" w14:textId="77777777" w:rsidTr="000B1AAE">
        <w:tc>
          <w:tcPr>
            <w:cnfStyle w:val="001000000000" w:firstRow="0" w:lastRow="0" w:firstColumn="1" w:lastColumn="0" w:oddVBand="0" w:evenVBand="0" w:oddHBand="0" w:evenHBand="0" w:firstRowFirstColumn="0" w:firstRowLastColumn="0" w:lastRowFirstColumn="0" w:lastRowLastColumn="0"/>
            <w:tcW w:w="9350" w:type="dxa"/>
          </w:tcPr>
          <w:p w14:paraId="70F86464" w14:textId="583F0BE7"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Miscellaneous</w:t>
            </w:r>
          </w:p>
        </w:tc>
      </w:tr>
      <w:tr w:rsidR="000B1AAE" w14:paraId="3E5FD292" w14:textId="77777777" w:rsidTr="000B1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9E779F" w14:textId="12893FBD" w:rsidR="000B1AAE" w:rsidRPr="000B1AAE" w:rsidRDefault="000B1AAE" w:rsidP="002662C2">
            <w:pPr>
              <w:pStyle w:val="ListParagraph"/>
              <w:numPr>
                <w:ilvl w:val="0"/>
                <w:numId w:val="6"/>
              </w:numPr>
              <w:spacing w:before="80" w:after="80"/>
              <w:rPr>
                <w:rFonts w:cs="Times New Roman"/>
                <w:b w:val="0"/>
                <w:bCs w:val="0"/>
              </w:rPr>
            </w:pPr>
            <w:r w:rsidRPr="000B1AAE">
              <w:rPr>
                <w:rFonts w:cs="Times New Roman"/>
                <w:b w:val="0"/>
                <w:bCs w:val="0"/>
              </w:rPr>
              <w:t>Interpretation and General Provisions</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5BF90E0E" w:rsidR="00EF1DBD" w:rsidRPr="0024237C" w:rsidRDefault="000B1AAE"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1510EC0" w:rsidR="00EF1DBD" w:rsidRPr="006C189C" w:rsidRDefault="000B1AAE" w:rsidP="00EF1DBD">
            <w:pPr>
              <w:pStyle w:val="Heading1"/>
              <w:spacing w:before="80" w:after="80"/>
              <w:outlineLvl w:val="0"/>
            </w:pPr>
            <w:r>
              <w:t>PRELIMINARY MATTERS</w:t>
            </w:r>
          </w:p>
        </w:tc>
      </w:tr>
      <w:tr w:rsidR="00F65855" w:rsidRPr="006C189C" w14:paraId="7C0AAF91" w14:textId="0A905023" w:rsidTr="003613B4">
        <w:tc>
          <w:tcPr>
            <w:tcW w:w="633" w:type="dxa"/>
          </w:tcPr>
          <w:p w14:paraId="5618118A" w14:textId="4C09E27E" w:rsidR="00F65855" w:rsidRPr="006C189C" w:rsidRDefault="000B1AAE"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13DF89F9" w:rsidR="00F65855" w:rsidRPr="000D4BF9" w:rsidRDefault="000B1AAE" w:rsidP="00E8707E">
            <w:pPr>
              <w:pStyle w:val="Bullet1"/>
            </w:pPr>
            <w:r w:rsidRPr="000D4BF9">
              <w:t xml:space="preserve">Complete the </w:t>
            </w:r>
            <w:r w:rsidRPr="000D4BF9">
              <w:rPr>
                <w:bCs/>
                <w:smallCaps/>
              </w:rPr>
              <w:t xml:space="preserve">client </w:t>
            </w:r>
            <w:r w:rsidRPr="000D4BF9">
              <w:rPr>
                <w:smallCaps/>
              </w:rPr>
              <w:t>file opening and closing</w:t>
            </w:r>
            <w:r w:rsidRPr="000D4BF9">
              <w:t xml:space="preserve"> (A-2) and </w:t>
            </w:r>
            <w:r w:rsidRPr="000D4BF9">
              <w:rPr>
                <w:rStyle w:val="SmallCaps"/>
                <w:rFonts w:ascii="Times New Roman" w:hAnsi="Times New Roman"/>
                <w:sz w:val="22"/>
              </w:rPr>
              <w:t>mortgage procedure (F</w:t>
            </w:r>
            <w:r w:rsidRPr="000D4BF9">
              <w:rPr>
                <w:rStyle w:val="SmallCaps"/>
                <w:rFonts w:ascii="Times New Roman" w:hAnsi="Times New Roman"/>
                <w:sz w:val="22"/>
              </w:rPr>
              <w:noBreakHyphen/>
              <w:t xml:space="preserve">2) </w:t>
            </w:r>
            <w:r w:rsidRPr="000D4BF9">
              <w:t>checklists</w:t>
            </w:r>
            <w:r w:rsidRPr="000D4BF9">
              <w:rPr>
                <w:rStyle w:val="SmallCaps"/>
                <w:rFonts w:ascii="Times New Roman" w:hAnsi="Times New Roman"/>
                <w:sz w:val="22"/>
              </w:rPr>
              <w:t>.</w:t>
            </w:r>
          </w:p>
        </w:tc>
        <w:tc>
          <w:tcPr>
            <w:tcW w:w="900" w:type="dxa"/>
            <w:vAlign w:val="center"/>
          </w:tcPr>
          <w:p w14:paraId="5D5F0509" w14:textId="44283988" w:rsidR="00F65855" w:rsidRPr="006C189C" w:rsidRDefault="000B1AAE" w:rsidP="00210E66">
            <w:pPr>
              <w:pStyle w:val="Bullet1"/>
              <w:ind w:left="-104"/>
              <w:jc w:val="center"/>
            </w:pPr>
            <w:r w:rsidRPr="00437BB1">
              <w:rPr>
                <w:sz w:val="40"/>
                <w:szCs w:val="40"/>
              </w:rPr>
              <w:sym w:font="Wingdings 2" w:char="F0A3"/>
            </w:r>
          </w:p>
        </w:tc>
      </w:tr>
      <w:tr w:rsidR="000B1AAE" w:rsidRPr="006C189C" w14:paraId="231DAAA5" w14:textId="77777777" w:rsidTr="003613B4">
        <w:tc>
          <w:tcPr>
            <w:tcW w:w="633" w:type="dxa"/>
          </w:tcPr>
          <w:p w14:paraId="5E8A10A9" w14:textId="206E6B0B" w:rsidR="000B1AAE" w:rsidRDefault="000B1AAE"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71AE0194" w14:textId="7991CB95" w:rsidR="000B1AAE" w:rsidRPr="000D4BF9" w:rsidRDefault="000B1AAE" w:rsidP="00E8707E">
            <w:pPr>
              <w:pStyle w:val="Bullet1"/>
            </w:pPr>
            <w:r w:rsidRPr="000D4BF9">
              <w:t xml:space="preserve">Confirm compliance with Law Society Rules 3-98 to 3-110 for client identification and verification and the source of money for financial transactions, and complete the </w:t>
            </w:r>
            <w:r w:rsidRPr="000D4BF9">
              <w:rPr>
                <w:smallCaps/>
              </w:rPr>
              <w:t>client identification, verification</w:t>
            </w:r>
            <w:r w:rsidR="00B946A4">
              <w:rPr>
                <w:smallCaps/>
              </w:rPr>
              <w:t xml:space="preserve"> and source of money</w:t>
            </w:r>
            <w:r w:rsidRPr="000D4BF9">
              <w:t xml:space="preserve"> (A-1) checklist. Consider periodic monitoring requirements (Law Society Rule 3-110). </w:t>
            </w:r>
            <w:r w:rsidRPr="000D4BF9">
              <w:rPr>
                <w:rFonts w:eastAsia="Calibri"/>
              </w:rPr>
              <w:t>If the client is</w:t>
            </w:r>
            <w:r w:rsidRPr="000D4BF9">
              <w:t xml:space="preserve"> a </w:t>
            </w:r>
            <w:r w:rsidR="00AF6BFB">
              <w:br/>
            </w:r>
          </w:p>
        </w:tc>
        <w:tc>
          <w:tcPr>
            <w:tcW w:w="900" w:type="dxa"/>
            <w:vAlign w:val="center"/>
          </w:tcPr>
          <w:p w14:paraId="3B7F70F8" w14:textId="3EDE7D09" w:rsidR="000B1AAE" w:rsidRPr="006C189C" w:rsidRDefault="000B1AAE" w:rsidP="00210E66">
            <w:pPr>
              <w:pStyle w:val="Bullet1"/>
              <w:ind w:left="-104"/>
              <w:jc w:val="center"/>
            </w:pPr>
            <w:r w:rsidRPr="00437BB1">
              <w:rPr>
                <w:sz w:val="40"/>
                <w:szCs w:val="40"/>
              </w:rPr>
              <w:sym w:font="Wingdings 2" w:char="F0A3"/>
            </w:r>
          </w:p>
        </w:tc>
      </w:tr>
      <w:tr w:rsidR="00AF6BFB" w:rsidRPr="006C189C" w14:paraId="34557A7F" w14:textId="77777777" w:rsidTr="003613B4">
        <w:tc>
          <w:tcPr>
            <w:tcW w:w="633" w:type="dxa"/>
          </w:tcPr>
          <w:p w14:paraId="673DC700" w14:textId="77777777" w:rsidR="00AF6BFB" w:rsidRDefault="00AF6BFB" w:rsidP="003613B4">
            <w:pPr>
              <w:spacing w:before="80" w:after="80"/>
              <w:jc w:val="right"/>
              <w:rPr>
                <w:rFonts w:ascii="Times New Roman" w:hAnsi="Times New Roman" w:cs="Times New Roman"/>
              </w:rPr>
            </w:pPr>
          </w:p>
        </w:tc>
        <w:tc>
          <w:tcPr>
            <w:tcW w:w="7822" w:type="dxa"/>
            <w:vAlign w:val="center"/>
          </w:tcPr>
          <w:p w14:paraId="48082656" w14:textId="3A5F6AD2" w:rsidR="00AF6BFB" w:rsidRPr="000D4BF9" w:rsidRDefault="00AF6BFB" w:rsidP="00E8707E">
            <w:pPr>
              <w:pStyle w:val="Bullet1"/>
            </w:pPr>
            <w:r w:rsidRPr="000D4BF9">
              <w:t>company or other organization, note the rules about verifying an organization’s identity and the individual(s) instructing you on the organization’s behalf as well as identifying shareholders, directors and owners and obtaining information about the organization’s ownership, control and structure.</w:t>
            </w:r>
            <w:r w:rsidRPr="000D4BF9">
              <w:rPr>
                <w:rFonts w:eastAsia="Calibri"/>
              </w:rPr>
              <w:t xml:space="preserve"> </w:t>
            </w:r>
            <w:r w:rsidRPr="000D4BF9">
              <w:t xml:space="preserve">Criminals use ordinary legal instruments to launder money, including private mortgages, shell and numbered companies, bare trusts, and nominees, attempting to disguise the true owners of real property, the beneficial owners. See “Money laundering, fraud, and real estate” in the “Of note” section at the beginning of this checklist for more information, including the </w:t>
            </w:r>
            <w:hyperlink r:id="rId20" w:history="1">
              <w:r w:rsidRPr="00B946A4">
                <w:rPr>
                  <w:rStyle w:val="Hyperlink"/>
                </w:rPr>
                <w:t>Discipline Advisory of April 2, 2019—Private lending</w:t>
              </w:r>
            </w:hyperlink>
            <w:r w:rsidRPr="000D4BF9">
              <w:t>. Be alert to red flags.</w:t>
            </w:r>
          </w:p>
        </w:tc>
        <w:tc>
          <w:tcPr>
            <w:tcW w:w="900" w:type="dxa"/>
            <w:vAlign w:val="center"/>
          </w:tcPr>
          <w:p w14:paraId="7BB39B30" w14:textId="77777777" w:rsidR="00AF6BFB" w:rsidRPr="00437BB1" w:rsidRDefault="00AF6BFB" w:rsidP="00210E66">
            <w:pPr>
              <w:pStyle w:val="Bullet1"/>
              <w:ind w:left="-104"/>
              <w:jc w:val="center"/>
              <w:rPr>
                <w:sz w:val="40"/>
                <w:szCs w:val="40"/>
              </w:rPr>
            </w:pPr>
          </w:p>
        </w:tc>
      </w:tr>
    </w:tbl>
    <w:p w14:paraId="4A26EC77" w14:textId="630078B0" w:rsidR="00366A97" w:rsidRDefault="00366A97"/>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18171FAD" w:rsidR="00EF1DBD" w:rsidRPr="0024237C" w:rsidRDefault="000B1AAE"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2D779F82" w:rsidR="00EF1DBD" w:rsidRPr="006C189C" w:rsidRDefault="000B1AAE" w:rsidP="00EF1DBD">
            <w:pPr>
              <w:pStyle w:val="Heading1"/>
              <w:spacing w:before="80" w:after="80"/>
              <w:outlineLvl w:val="0"/>
            </w:pPr>
            <w:r w:rsidRPr="002A1724">
              <w:t>DATE and INTRODUCTORY CLAUSES</w:t>
            </w:r>
          </w:p>
        </w:tc>
      </w:tr>
      <w:tr w:rsidR="00210E66" w:rsidRPr="006C189C" w14:paraId="223508C8" w14:textId="0DCD74AD" w:rsidTr="003613B4">
        <w:tc>
          <w:tcPr>
            <w:tcW w:w="633" w:type="dxa"/>
          </w:tcPr>
          <w:p w14:paraId="48482055" w14:textId="1FB66F85" w:rsidR="00210E66" w:rsidRPr="006C189C" w:rsidRDefault="000B1AAE"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7BF010F3" w:rsidR="00210E66" w:rsidRPr="00FA6391" w:rsidRDefault="0058483D" w:rsidP="00A8366A">
            <w:pPr>
              <w:pStyle w:val="Bullet1"/>
            </w:pPr>
            <w:r w:rsidRPr="00FA6391">
              <w:t xml:space="preserve">Whether made under the </w:t>
            </w:r>
            <w:r w:rsidRPr="00FA6391">
              <w:rPr>
                <w:rStyle w:val="Italics"/>
                <w:rFonts w:ascii="Times New Roman" w:hAnsi="Times New Roman"/>
                <w:sz w:val="22"/>
              </w:rPr>
              <w:t>Land Transfer Form Act</w:t>
            </w:r>
            <w:r w:rsidRPr="00FA6391">
              <w:rPr>
                <w:rStyle w:val="Italics"/>
                <w:rFonts w:ascii="Times New Roman" w:hAnsi="Times New Roman"/>
                <w:i w:val="0"/>
                <w:sz w:val="22"/>
              </w:rPr>
              <w:t>, R.S.B.C. 1996, c. 252</w:t>
            </w:r>
            <w:r w:rsidRPr="00FA6391">
              <w:t xml:space="preserve"> (if other than prescribed mortgage terms).</w:t>
            </w:r>
          </w:p>
        </w:tc>
        <w:tc>
          <w:tcPr>
            <w:tcW w:w="900" w:type="dxa"/>
            <w:vAlign w:val="center"/>
          </w:tcPr>
          <w:p w14:paraId="1E01CC31" w14:textId="72349909" w:rsidR="00210E66" w:rsidRPr="006C189C" w:rsidRDefault="000B1AAE" w:rsidP="00210E66">
            <w:pPr>
              <w:pStyle w:val="Bullet1"/>
              <w:jc w:val="center"/>
            </w:pPr>
            <w:r w:rsidRPr="00437BB1">
              <w:rPr>
                <w:sz w:val="40"/>
                <w:szCs w:val="40"/>
              </w:rPr>
              <w:sym w:font="Wingdings 2" w:char="F0A3"/>
            </w:r>
          </w:p>
        </w:tc>
      </w:tr>
      <w:tr w:rsidR="000B1AAE" w:rsidRPr="006C189C" w14:paraId="52E55FBB" w14:textId="77777777" w:rsidTr="003613B4">
        <w:tc>
          <w:tcPr>
            <w:tcW w:w="633" w:type="dxa"/>
          </w:tcPr>
          <w:p w14:paraId="40BD12BB" w14:textId="074F3D7B" w:rsidR="000B1AAE" w:rsidRDefault="000B1AAE"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308475D6" w14:textId="1F0DCAA4" w:rsidR="000B1AAE" w:rsidRPr="006C189C" w:rsidRDefault="000B1AAE" w:rsidP="00A8366A">
            <w:pPr>
              <w:pStyle w:val="Bullet1"/>
            </w:pPr>
            <w:r w:rsidRPr="002A1724">
              <w:t>Recitals setting out the special features of the transaction.</w:t>
            </w:r>
          </w:p>
        </w:tc>
        <w:tc>
          <w:tcPr>
            <w:tcW w:w="900" w:type="dxa"/>
            <w:vAlign w:val="center"/>
          </w:tcPr>
          <w:p w14:paraId="64A96DC7" w14:textId="1639BAA9" w:rsidR="000B1AAE" w:rsidRPr="006C189C" w:rsidRDefault="000B1AAE" w:rsidP="00210E66">
            <w:pPr>
              <w:pStyle w:val="Bullet1"/>
              <w:jc w:val="center"/>
            </w:pPr>
            <w:r w:rsidRPr="00437BB1">
              <w:rPr>
                <w:sz w:val="40"/>
                <w:szCs w:val="40"/>
              </w:rPr>
              <w:sym w:font="Wingdings 2" w:char="F0A3"/>
            </w:r>
          </w:p>
        </w:tc>
      </w:tr>
      <w:tr w:rsidR="000B1AAE" w:rsidRPr="006C189C" w14:paraId="00D122E7" w14:textId="77777777" w:rsidTr="003613B4">
        <w:tc>
          <w:tcPr>
            <w:tcW w:w="633" w:type="dxa"/>
          </w:tcPr>
          <w:p w14:paraId="229D1574" w14:textId="2694FD99" w:rsidR="000B1AAE" w:rsidRDefault="000B1AAE"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7F4CB544" w14:textId="38ACF7A8" w:rsidR="000B1AAE" w:rsidRPr="006C189C" w:rsidRDefault="000B1AAE" w:rsidP="00A8366A">
            <w:pPr>
              <w:pStyle w:val="Bullet1"/>
            </w:pPr>
            <w:r w:rsidRPr="002A1724">
              <w:t>Consideration clause.</w:t>
            </w:r>
          </w:p>
        </w:tc>
        <w:tc>
          <w:tcPr>
            <w:tcW w:w="900" w:type="dxa"/>
            <w:vAlign w:val="center"/>
          </w:tcPr>
          <w:p w14:paraId="3CD2DF66" w14:textId="3AEA48AB" w:rsidR="000B1AAE" w:rsidRPr="006C189C" w:rsidRDefault="000B1AAE" w:rsidP="00210E66">
            <w:pPr>
              <w:pStyle w:val="Bullet1"/>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04897347" w:rsidR="00EF1DBD" w:rsidRPr="0024237C" w:rsidRDefault="000B1AAE"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7C021B21" w:rsidR="00EF1DBD" w:rsidRPr="006C189C" w:rsidRDefault="000B1AAE" w:rsidP="00EF1DBD">
            <w:pPr>
              <w:pStyle w:val="Heading1"/>
              <w:spacing w:before="80" w:after="80"/>
              <w:outlineLvl w:val="0"/>
            </w:pPr>
            <w:r>
              <w:t>IDENTIFICATION OF PARTIES</w:t>
            </w:r>
          </w:p>
        </w:tc>
      </w:tr>
      <w:tr w:rsidR="003613B4" w:rsidRPr="006C189C" w14:paraId="3D41846B" w14:textId="0642D6D7" w:rsidTr="003613B4">
        <w:tc>
          <w:tcPr>
            <w:tcW w:w="641" w:type="dxa"/>
          </w:tcPr>
          <w:p w14:paraId="5CC51111" w14:textId="77A94392" w:rsidR="003613B4" w:rsidRPr="006C189C" w:rsidRDefault="000B1AAE"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076ED420" w:rsidR="003613B4" w:rsidRPr="006C189C" w:rsidRDefault="000B1AAE" w:rsidP="00A8366A">
            <w:pPr>
              <w:pStyle w:val="Bullet1"/>
            </w:pPr>
            <w:r w:rsidRPr="002A1724">
              <w:t>Borrower.</w:t>
            </w:r>
          </w:p>
        </w:tc>
        <w:tc>
          <w:tcPr>
            <w:tcW w:w="900" w:type="dxa"/>
            <w:vAlign w:val="center"/>
          </w:tcPr>
          <w:p w14:paraId="4D38A8D5" w14:textId="6D835DEB" w:rsidR="003613B4" w:rsidRPr="006C189C" w:rsidRDefault="000B1AAE" w:rsidP="003613B4">
            <w:pPr>
              <w:pStyle w:val="Bullet1"/>
              <w:ind w:left="-104"/>
              <w:jc w:val="center"/>
            </w:pPr>
            <w:r w:rsidRPr="00437BB1">
              <w:rPr>
                <w:sz w:val="40"/>
                <w:szCs w:val="40"/>
              </w:rPr>
              <w:sym w:font="Wingdings 2" w:char="F0A3"/>
            </w:r>
          </w:p>
        </w:tc>
      </w:tr>
      <w:tr w:rsidR="000B1AAE" w:rsidRPr="006C189C" w14:paraId="62B58C57" w14:textId="77777777" w:rsidTr="003613B4">
        <w:tc>
          <w:tcPr>
            <w:tcW w:w="641" w:type="dxa"/>
          </w:tcPr>
          <w:p w14:paraId="45A8AD40" w14:textId="0793D4CF" w:rsidR="000B1AAE" w:rsidRDefault="000B1AAE"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730B5207" w14:textId="08BD3B69" w:rsidR="000B1AAE" w:rsidRPr="006C189C" w:rsidRDefault="000B1AAE" w:rsidP="00A8366A">
            <w:pPr>
              <w:pStyle w:val="Bullet1"/>
            </w:pPr>
            <w:r w:rsidRPr="002A1724">
              <w:t>Lender.</w:t>
            </w:r>
          </w:p>
        </w:tc>
        <w:tc>
          <w:tcPr>
            <w:tcW w:w="900" w:type="dxa"/>
            <w:vAlign w:val="center"/>
          </w:tcPr>
          <w:p w14:paraId="1456D852" w14:textId="4E792BB0" w:rsidR="000B1AAE" w:rsidRPr="006C189C" w:rsidRDefault="000B1AAE" w:rsidP="003613B4">
            <w:pPr>
              <w:pStyle w:val="Bullet1"/>
              <w:ind w:left="-104"/>
              <w:jc w:val="center"/>
            </w:pPr>
            <w:r w:rsidRPr="00437BB1">
              <w:rPr>
                <w:sz w:val="40"/>
                <w:szCs w:val="40"/>
              </w:rPr>
              <w:sym w:font="Wingdings 2" w:char="F0A3"/>
            </w:r>
          </w:p>
        </w:tc>
      </w:tr>
      <w:tr w:rsidR="000B1AAE" w:rsidRPr="006C189C" w14:paraId="46DED44D" w14:textId="77777777" w:rsidTr="003613B4">
        <w:tc>
          <w:tcPr>
            <w:tcW w:w="641" w:type="dxa"/>
          </w:tcPr>
          <w:p w14:paraId="5CAA84DD" w14:textId="44C4891A" w:rsidR="000B1AAE" w:rsidRDefault="000B1AAE"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14B7F425" w14:textId="71545846" w:rsidR="000B1AAE" w:rsidRPr="006C189C" w:rsidRDefault="000B1AAE" w:rsidP="00A8366A">
            <w:pPr>
              <w:pStyle w:val="Bullet1"/>
            </w:pPr>
            <w:r w:rsidRPr="002A1724">
              <w:t>Guarantor or covenantor (presumably independent legal advice will be obtained, and the client identification and verification rules will be applied by the lawyer retained for that purpose). Ensure that terminology (guarantor vs. covenantor) matches the mortgage terms.</w:t>
            </w:r>
          </w:p>
        </w:tc>
        <w:tc>
          <w:tcPr>
            <w:tcW w:w="900" w:type="dxa"/>
            <w:vAlign w:val="center"/>
          </w:tcPr>
          <w:p w14:paraId="701DEB75" w14:textId="5FC254F9" w:rsidR="000B1AAE" w:rsidRPr="006C189C" w:rsidRDefault="000B1AAE"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67F7BC0F" w:rsidR="00EF1DBD" w:rsidRPr="0024237C" w:rsidRDefault="000B1AAE"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78A51032" w:rsidR="00EF1DBD" w:rsidRPr="006C189C" w:rsidRDefault="000B1AAE" w:rsidP="00EF1DBD">
            <w:pPr>
              <w:pStyle w:val="Heading1"/>
              <w:spacing w:before="80" w:after="80"/>
              <w:outlineLvl w:val="0"/>
            </w:pPr>
            <w:r>
              <w:t>DESCRIPTION OF PROPERTY</w:t>
            </w:r>
          </w:p>
        </w:tc>
      </w:tr>
      <w:tr w:rsidR="003613B4" w:rsidRPr="006C189C" w14:paraId="48C14C86" w14:textId="53640E6E" w:rsidTr="003613B4">
        <w:tc>
          <w:tcPr>
            <w:tcW w:w="633" w:type="dxa"/>
          </w:tcPr>
          <w:p w14:paraId="58B5E43E" w14:textId="656A49B4" w:rsidR="003613B4" w:rsidRPr="006C189C" w:rsidRDefault="00D00779"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5344D017" w:rsidR="003613B4" w:rsidRPr="006C189C" w:rsidRDefault="00D00779" w:rsidP="00A8366A">
            <w:pPr>
              <w:pStyle w:val="Bullet1"/>
            </w:pPr>
            <w:r w:rsidRPr="002A1724">
              <w:t>Legal description and civic address.</w:t>
            </w:r>
          </w:p>
        </w:tc>
        <w:tc>
          <w:tcPr>
            <w:tcW w:w="900" w:type="dxa"/>
            <w:vAlign w:val="center"/>
          </w:tcPr>
          <w:p w14:paraId="408A7AF0" w14:textId="4561BC96" w:rsidR="003613B4" w:rsidRPr="006C189C" w:rsidRDefault="00D00779" w:rsidP="003613B4">
            <w:pPr>
              <w:pStyle w:val="Bullet1"/>
              <w:ind w:left="-104"/>
              <w:jc w:val="center"/>
            </w:pPr>
            <w:r w:rsidRPr="00437BB1">
              <w:rPr>
                <w:sz w:val="40"/>
                <w:szCs w:val="40"/>
              </w:rPr>
              <w:sym w:font="Wingdings 2" w:char="F0A3"/>
            </w:r>
          </w:p>
        </w:tc>
      </w:tr>
      <w:tr w:rsidR="00D00779" w:rsidRPr="006C189C" w14:paraId="1B41C650" w14:textId="77777777" w:rsidTr="003613B4">
        <w:tc>
          <w:tcPr>
            <w:tcW w:w="633" w:type="dxa"/>
          </w:tcPr>
          <w:p w14:paraId="0C7C4FD8" w14:textId="3B03A57E" w:rsidR="00D00779" w:rsidRDefault="00D00779"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180FB643" w14:textId="4CA4DB68" w:rsidR="00D00779" w:rsidRPr="00FA6391" w:rsidRDefault="00D00779" w:rsidP="00A8366A">
            <w:pPr>
              <w:pStyle w:val="Bullet1"/>
            </w:pPr>
            <w:r w:rsidRPr="00FA6391">
              <w:t xml:space="preserve">Interests included (if relevant, consider </w:t>
            </w:r>
            <w:r w:rsidRPr="00FA6391">
              <w:rPr>
                <w:rStyle w:val="Italics"/>
                <w:rFonts w:ascii="Times New Roman" w:hAnsi="Times New Roman"/>
                <w:sz w:val="22"/>
              </w:rPr>
              <w:t>Land Transfer Form Act</w:t>
            </w:r>
            <w:r w:rsidRPr="00FA6391">
              <w:t>, s. 10).</w:t>
            </w:r>
          </w:p>
        </w:tc>
        <w:tc>
          <w:tcPr>
            <w:tcW w:w="900" w:type="dxa"/>
            <w:vAlign w:val="center"/>
          </w:tcPr>
          <w:p w14:paraId="2DCFE2EF" w14:textId="277065A4" w:rsidR="00D00779" w:rsidRPr="006C189C" w:rsidRDefault="00D00779" w:rsidP="003613B4">
            <w:pPr>
              <w:pStyle w:val="Bullet1"/>
              <w:ind w:left="-104"/>
              <w:jc w:val="center"/>
            </w:pPr>
            <w:r w:rsidRPr="00437BB1">
              <w:rPr>
                <w:sz w:val="40"/>
                <w:szCs w:val="40"/>
              </w:rPr>
              <w:sym w:font="Wingdings 2" w:char="F0A3"/>
            </w:r>
          </w:p>
        </w:tc>
      </w:tr>
    </w:tbl>
    <w:p w14:paraId="4319C675"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00779" w:rsidRPr="006C189C" w14:paraId="72265419" w14:textId="77777777" w:rsidTr="00A26A47">
        <w:tc>
          <w:tcPr>
            <w:tcW w:w="633" w:type="dxa"/>
            <w:shd w:val="clear" w:color="auto" w:fill="D9E2F3" w:themeFill="accent1" w:themeFillTint="33"/>
          </w:tcPr>
          <w:p w14:paraId="4EDF5F54" w14:textId="7BE36983" w:rsidR="00D00779" w:rsidRPr="0024237C" w:rsidRDefault="00D00779" w:rsidP="00A26A47">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6A58F7C6" w14:textId="4FB39240" w:rsidR="00D00779" w:rsidRPr="006C189C" w:rsidRDefault="00D00779" w:rsidP="00A26A47">
            <w:pPr>
              <w:pStyle w:val="Heading1"/>
              <w:spacing w:before="80" w:after="80"/>
              <w:outlineLvl w:val="0"/>
            </w:pPr>
            <w:r>
              <w:t>GRANT OF MORTGAGE</w:t>
            </w:r>
          </w:p>
        </w:tc>
      </w:tr>
      <w:tr w:rsidR="00D00779" w:rsidRPr="006C189C" w14:paraId="56D77FBB" w14:textId="77777777" w:rsidTr="00A26A47">
        <w:tc>
          <w:tcPr>
            <w:tcW w:w="633" w:type="dxa"/>
          </w:tcPr>
          <w:p w14:paraId="437535DF" w14:textId="43A5B790" w:rsidR="00D00779" w:rsidRPr="006C189C" w:rsidRDefault="00D00779" w:rsidP="00A26A47">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02A09058" w14:textId="73F23697" w:rsidR="00D00779" w:rsidRPr="006C189C" w:rsidRDefault="00D00779" w:rsidP="00A26A47">
            <w:pPr>
              <w:pStyle w:val="Bullet1"/>
            </w:pPr>
            <w:r w:rsidRPr="002A1724">
              <w:t xml:space="preserve">Consider the effect of </w:t>
            </w:r>
            <w:r w:rsidRPr="00D00779">
              <w:rPr>
                <w:rStyle w:val="Italics"/>
                <w:rFonts w:ascii="Times New Roman" w:hAnsi="Times New Roman"/>
                <w:sz w:val="22"/>
              </w:rPr>
              <w:t>Land Title Act</w:t>
            </w:r>
            <w:r w:rsidRPr="002A1724">
              <w:t>, s. 231, and whether formal words of transfer and conveyance should be retained in the grant of mortgage.</w:t>
            </w:r>
          </w:p>
        </w:tc>
        <w:tc>
          <w:tcPr>
            <w:tcW w:w="900" w:type="dxa"/>
            <w:vAlign w:val="center"/>
          </w:tcPr>
          <w:p w14:paraId="64CE3BC2" w14:textId="77777777" w:rsidR="00D00779" w:rsidRPr="006C189C" w:rsidRDefault="00D00779" w:rsidP="00A26A47">
            <w:pPr>
              <w:pStyle w:val="Bullet1"/>
              <w:ind w:left="-104"/>
              <w:jc w:val="center"/>
            </w:pPr>
            <w:r w:rsidRPr="00437BB1">
              <w:rPr>
                <w:sz w:val="40"/>
                <w:szCs w:val="40"/>
              </w:rPr>
              <w:sym w:font="Wingdings 2" w:char="F0A3"/>
            </w:r>
          </w:p>
        </w:tc>
      </w:tr>
    </w:tbl>
    <w:p w14:paraId="36FE7120" w14:textId="77777777" w:rsidR="00D00779" w:rsidRDefault="00D00779" w:rsidP="00D00779">
      <w:pPr>
        <w:spacing w:before="80" w:after="80"/>
        <w:rPr>
          <w:rFonts w:ascii="Times New Roman" w:hAnsi="Times New Roman" w:cs="Times New Roman"/>
        </w:rPr>
      </w:pPr>
    </w:p>
    <w:p w14:paraId="17F9E3A6" w14:textId="77777777" w:rsidR="00903B88" w:rsidRDefault="00903B88">
      <w:r>
        <w:br w:type="page"/>
      </w:r>
    </w:p>
    <w:tbl>
      <w:tblPr>
        <w:tblStyle w:val="TableGrid"/>
        <w:tblW w:w="0" w:type="auto"/>
        <w:tblLook w:val="04A0" w:firstRow="1" w:lastRow="0" w:firstColumn="1" w:lastColumn="0" w:noHBand="0" w:noVBand="1"/>
      </w:tblPr>
      <w:tblGrid>
        <w:gridCol w:w="633"/>
        <w:gridCol w:w="7822"/>
        <w:gridCol w:w="900"/>
      </w:tblGrid>
      <w:tr w:rsidR="00D00779" w:rsidRPr="006C189C" w14:paraId="0A9EF016" w14:textId="77777777" w:rsidTr="00A26A47">
        <w:tc>
          <w:tcPr>
            <w:tcW w:w="633" w:type="dxa"/>
            <w:shd w:val="clear" w:color="auto" w:fill="D9E2F3" w:themeFill="accent1" w:themeFillTint="33"/>
          </w:tcPr>
          <w:p w14:paraId="5A46A43A" w14:textId="115228F4" w:rsidR="00D00779" w:rsidRPr="0024237C" w:rsidRDefault="00D00779" w:rsidP="00A26A47">
            <w:pPr>
              <w:spacing w:before="80" w:after="80"/>
              <w:jc w:val="right"/>
              <w:rPr>
                <w:rFonts w:ascii="Times New Roman" w:hAnsi="Times New Roman" w:cs="Times New Roman"/>
                <w:b/>
              </w:rPr>
            </w:pPr>
            <w:r>
              <w:rPr>
                <w:rFonts w:ascii="Times New Roman" w:hAnsi="Times New Roman" w:cs="Times New Roman"/>
                <w:b/>
              </w:rPr>
              <w:lastRenderedPageBreak/>
              <w:t>6.</w:t>
            </w:r>
          </w:p>
        </w:tc>
        <w:tc>
          <w:tcPr>
            <w:tcW w:w="8722" w:type="dxa"/>
            <w:gridSpan w:val="2"/>
            <w:shd w:val="clear" w:color="auto" w:fill="D9E2F3" w:themeFill="accent1" w:themeFillTint="33"/>
            <w:vAlign w:val="center"/>
          </w:tcPr>
          <w:p w14:paraId="63172979" w14:textId="27205C10" w:rsidR="00D00779" w:rsidRPr="006C189C" w:rsidRDefault="00D00779" w:rsidP="00A26A47">
            <w:pPr>
              <w:pStyle w:val="Heading1"/>
              <w:spacing w:before="80" w:after="80"/>
              <w:outlineLvl w:val="0"/>
            </w:pPr>
            <w:r>
              <w:t>PAYMENT</w:t>
            </w:r>
          </w:p>
        </w:tc>
      </w:tr>
      <w:tr w:rsidR="00D00779" w:rsidRPr="006C189C" w14:paraId="20278886" w14:textId="77777777" w:rsidTr="00A26A47">
        <w:tc>
          <w:tcPr>
            <w:tcW w:w="633" w:type="dxa"/>
          </w:tcPr>
          <w:p w14:paraId="0E6D2967" w14:textId="736696F3" w:rsidR="00D00779" w:rsidRPr="006C189C" w:rsidRDefault="00D00779" w:rsidP="00A26A47">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0CDA0ABF" w14:textId="09D64B55" w:rsidR="00D00779" w:rsidRPr="006C189C" w:rsidRDefault="00D00779" w:rsidP="00A26A47">
            <w:pPr>
              <w:pStyle w:val="Bullet1"/>
            </w:pPr>
            <w:r w:rsidRPr="002A1724">
              <w:t>Mortgage to be void on payment of principal and interest, and costs and expenses described in mortgage, unless the mortgage is intended to cover future advances.</w:t>
            </w:r>
          </w:p>
        </w:tc>
        <w:tc>
          <w:tcPr>
            <w:tcW w:w="900" w:type="dxa"/>
            <w:vAlign w:val="center"/>
          </w:tcPr>
          <w:p w14:paraId="23DAE8F3"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6E95637A" w14:textId="77777777" w:rsidTr="00A26A47">
        <w:tc>
          <w:tcPr>
            <w:tcW w:w="633" w:type="dxa"/>
          </w:tcPr>
          <w:p w14:paraId="27AD32C8" w14:textId="2C355F93" w:rsidR="00D00779" w:rsidRDefault="00D00779" w:rsidP="00A26A47">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3A81DBAD" w14:textId="721C4F4A" w:rsidR="00D00779" w:rsidRPr="002A1724" w:rsidRDefault="00D00779" w:rsidP="00A26A47">
            <w:pPr>
              <w:pStyle w:val="Bullet1"/>
            </w:pPr>
            <w:r w:rsidRPr="002A1724">
              <w:t xml:space="preserve">Calculation of interest and date of commencement (ensure compliance with the </w:t>
            </w:r>
            <w:r w:rsidRPr="00D00779">
              <w:rPr>
                <w:rStyle w:val="Italics"/>
                <w:rFonts w:ascii="Times New Roman" w:hAnsi="Times New Roman"/>
                <w:sz w:val="22"/>
              </w:rPr>
              <w:t>Interest Act</w:t>
            </w:r>
            <w:r w:rsidRPr="00D00779">
              <w:rPr>
                <w:rStyle w:val="Italics"/>
                <w:rFonts w:ascii="Times New Roman" w:hAnsi="Times New Roman"/>
                <w:i w:val="0"/>
                <w:sz w:val="22"/>
              </w:rPr>
              <w:t>,</w:t>
            </w:r>
            <w:r w:rsidRPr="00D00779">
              <w:rPr>
                <w:rStyle w:val="Italics"/>
                <w:rFonts w:ascii="Times New Roman" w:hAnsi="Times New Roman"/>
                <w:iCs/>
                <w:sz w:val="22"/>
              </w:rPr>
              <w:t xml:space="preserve"> </w:t>
            </w:r>
            <w:r w:rsidRPr="00D00779">
              <w:rPr>
                <w:rStyle w:val="Italics"/>
                <w:rFonts w:ascii="Times New Roman" w:hAnsi="Times New Roman"/>
                <w:i w:val="0"/>
                <w:sz w:val="22"/>
              </w:rPr>
              <w:t>R.S.C. 1985, c. I-15,</w:t>
            </w:r>
            <w:r w:rsidRPr="00D00779">
              <w:t xml:space="preserve"> </w:t>
            </w:r>
            <w:r w:rsidRPr="00D00779">
              <w:rPr>
                <w:rStyle w:val="Italics"/>
                <w:rFonts w:ascii="Times New Roman" w:hAnsi="Times New Roman"/>
                <w:sz w:val="22"/>
              </w:rPr>
              <w:t>Bank Act</w:t>
            </w:r>
            <w:r w:rsidRPr="00D00779">
              <w:rPr>
                <w:i/>
                <w:iCs/>
              </w:rPr>
              <w:t xml:space="preserve">, </w:t>
            </w:r>
            <w:r w:rsidRPr="00D00779">
              <w:rPr>
                <w:rStyle w:val="Italics"/>
                <w:rFonts w:ascii="Times New Roman" w:hAnsi="Times New Roman"/>
                <w:i w:val="0"/>
                <w:iCs/>
                <w:sz w:val="22"/>
              </w:rPr>
              <w:t xml:space="preserve">S.C. 1991, c. 46, and Part 5 of the </w:t>
            </w:r>
            <w:r w:rsidRPr="00D00779">
              <w:rPr>
                <w:rStyle w:val="ItalicsI1"/>
                <w:sz w:val="22"/>
              </w:rPr>
              <w:t>Business Practices and Consumer Protection Act</w:t>
            </w:r>
            <w:r w:rsidRPr="00D00779">
              <w:rPr>
                <w:rStyle w:val="Italics"/>
                <w:rFonts w:ascii="Times New Roman" w:hAnsi="Times New Roman"/>
                <w:i w:val="0"/>
                <w:sz w:val="22"/>
              </w:rPr>
              <w:t>, S.B.C. 2004, c. 2 (the “</w:t>
            </w:r>
            <w:r w:rsidRPr="00D00779">
              <w:rPr>
                <w:rStyle w:val="Italics"/>
                <w:rFonts w:ascii="Times New Roman" w:hAnsi="Times New Roman"/>
                <w:iCs/>
                <w:sz w:val="22"/>
              </w:rPr>
              <w:t>BPCPA</w:t>
            </w:r>
            <w:r w:rsidRPr="00D00779">
              <w:rPr>
                <w:rStyle w:val="Italics"/>
                <w:rFonts w:ascii="Times New Roman" w:hAnsi="Times New Roman"/>
                <w:i w:val="0"/>
                <w:sz w:val="22"/>
              </w:rPr>
              <w:t>”),</w:t>
            </w:r>
            <w:r w:rsidRPr="00D00779">
              <w:rPr>
                <w:rStyle w:val="Italics"/>
                <w:rFonts w:ascii="Times New Roman" w:hAnsi="Times New Roman"/>
                <w:iCs/>
                <w:sz w:val="22"/>
              </w:rPr>
              <w:t xml:space="preserve"> </w:t>
            </w:r>
            <w:r w:rsidRPr="00D00779">
              <w:t xml:space="preserve">disclosure requirements; ensure there is no violation of </w:t>
            </w:r>
            <w:r w:rsidRPr="00D00779">
              <w:rPr>
                <w:rStyle w:val="Italics"/>
                <w:rFonts w:ascii="Times New Roman" w:hAnsi="Times New Roman"/>
                <w:sz w:val="22"/>
              </w:rPr>
              <w:t>Criminal Code</w:t>
            </w:r>
            <w:r w:rsidRPr="00D00779">
              <w:rPr>
                <w:rStyle w:val="Italics"/>
                <w:rFonts w:ascii="Times New Roman" w:hAnsi="Times New Roman"/>
                <w:iCs/>
                <w:sz w:val="22"/>
              </w:rPr>
              <w:t xml:space="preserve">, </w:t>
            </w:r>
            <w:r w:rsidRPr="00D00779">
              <w:rPr>
                <w:rStyle w:val="Italics"/>
                <w:rFonts w:ascii="Times New Roman" w:hAnsi="Times New Roman"/>
                <w:i w:val="0"/>
                <w:sz w:val="22"/>
              </w:rPr>
              <w:t>R.S.C. 1985, c. C-46, s. 347 regarding criminal interest rate</w:t>
            </w:r>
            <w:r w:rsidRPr="00D00779">
              <w:rPr>
                <w:i/>
              </w:rPr>
              <w:t>)</w:t>
            </w:r>
            <w:r w:rsidRPr="00D00779">
              <w:t>.</w:t>
            </w:r>
            <w:r w:rsidR="00FA6C5A">
              <w:t xml:space="preserve"> See discussion regarding criminal interest rates under “New developments” in this checklist. </w:t>
            </w:r>
          </w:p>
        </w:tc>
        <w:tc>
          <w:tcPr>
            <w:tcW w:w="900" w:type="dxa"/>
            <w:vAlign w:val="center"/>
          </w:tcPr>
          <w:p w14:paraId="22D55E75" w14:textId="5FEF2A13" w:rsidR="00D00779" w:rsidRPr="006C189C" w:rsidRDefault="00D00779" w:rsidP="00A26A47">
            <w:pPr>
              <w:pStyle w:val="Bullet1"/>
              <w:ind w:left="-104"/>
              <w:jc w:val="center"/>
            </w:pPr>
            <w:r w:rsidRPr="00437BB1">
              <w:rPr>
                <w:sz w:val="40"/>
                <w:szCs w:val="40"/>
              </w:rPr>
              <w:sym w:font="Wingdings 2" w:char="F0A3"/>
            </w:r>
          </w:p>
        </w:tc>
      </w:tr>
      <w:tr w:rsidR="00D00779" w:rsidRPr="006C189C" w14:paraId="66620155" w14:textId="77777777" w:rsidTr="00A26A47">
        <w:tc>
          <w:tcPr>
            <w:tcW w:w="633" w:type="dxa"/>
          </w:tcPr>
          <w:p w14:paraId="194EFA85" w14:textId="1ACA8C15" w:rsidR="00D00779" w:rsidRDefault="00D00779" w:rsidP="00A26A47">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05ED6D94" w14:textId="16807AA3" w:rsidR="00D00779" w:rsidRPr="002A1724" w:rsidRDefault="00D00779" w:rsidP="00A26A47">
            <w:pPr>
              <w:pStyle w:val="Bullet1"/>
            </w:pPr>
            <w:r w:rsidRPr="002A1724">
              <w:t>Interest on overdue payments.</w:t>
            </w:r>
          </w:p>
        </w:tc>
        <w:tc>
          <w:tcPr>
            <w:tcW w:w="900" w:type="dxa"/>
            <w:vAlign w:val="center"/>
          </w:tcPr>
          <w:p w14:paraId="00916F28" w14:textId="1EDD2A94" w:rsidR="00D00779" w:rsidRPr="006C189C" w:rsidRDefault="00D00779" w:rsidP="00A26A47">
            <w:pPr>
              <w:pStyle w:val="Bullet1"/>
              <w:ind w:left="-104"/>
              <w:jc w:val="center"/>
            </w:pPr>
            <w:r w:rsidRPr="00437BB1">
              <w:rPr>
                <w:sz w:val="40"/>
                <w:szCs w:val="40"/>
              </w:rPr>
              <w:sym w:font="Wingdings 2" w:char="F0A3"/>
            </w:r>
          </w:p>
        </w:tc>
      </w:tr>
      <w:tr w:rsidR="00D00779" w:rsidRPr="006C189C" w14:paraId="3D169052" w14:textId="77777777" w:rsidTr="00A26A47">
        <w:tc>
          <w:tcPr>
            <w:tcW w:w="633" w:type="dxa"/>
          </w:tcPr>
          <w:p w14:paraId="1AEA4386" w14:textId="0751D21A" w:rsidR="00D00779" w:rsidRDefault="00D00779" w:rsidP="00A26A47">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282D3078" w14:textId="1B3859C2" w:rsidR="00D00779" w:rsidRPr="002A1724" w:rsidRDefault="00D00779" w:rsidP="00A26A47">
            <w:pPr>
              <w:pStyle w:val="Bullet1"/>
            </w:pPr>
            <w:r w:rsidRPr="002A1724">
              <w:t>When, where, and how payments are to be made.</w:t>
            </w:r>
          </w:p>
        </w:tc>
        <w:tc>
          <w:tcPr>
            <w:tcW w:w="900" w:type="dxa"/>
            <w:vAlign w:val="center"/>
          </w:tcPr>
          <w:p w14:paraId="68A92C54" w14:textId="275EF0BD" w:rsidR="00D00779" w:rsidRPr="006C189C" w:rsidRDefault="00D00779" w:rsidP="00A26A47">
            <w:pPr>
              <w:pStyle w:val="Bullet1"/>
              <w:ind w:left="-104"/>
              <w:jc w:val="center"/>
            </w:pPr>
            <w:r w:rsidRPr="00437BB1">
              <w:rPr>
                <w:sz w:val="40"/>
                <w:szCs w:val="40"/>
              </w:rPr>
              <w:sym w:font="Wingdings 2" w:char="F0A3"/>
            </w:r>
          </w:p>
        </w:tc>
      </w:tr>
      <w:tr w:rsidR="00D00779" w:rsidRPr="006C189C" w14:paraId="461B60F6" w14:textId="77777777" w:rsidTr="00A26A47">
        <w:tc>
          <w:tcPr>
            <w:tcW w:w="633" w:type="dxa"/>
          </w:tcPr>
          <w:p w14:paraId="33AF331C" w14:textId="3DA3FB32" w:rsidR="00D00779" w:rsidRDefault="00D00779" w:rsidP="00A26A47">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63488C57" w14:textId="542B4299" w:rsidR="00D00779" w:rsidRPr="002A1724" w:rsidRDefault="00D00779" w:rsidP="00A26A47">
            <w:pPr>
              <w:pStyle w:val="Bullet1"/>
            </w:pPr>
            <w:r w:rsidRPr="002A1724">
              <w:t>Acceleration clause (see item 10.1).</w:t>
            </w:r>
          </w:p>
        </w:tc>
        <w:tc>
          <w:tcPr>
            <w:tcW w:w="900" w:type="dxa"/>
            <w:vAlign w:val="center"/>
          </w:tcPr>
          <w:p w14:paraId="713CD745" w14:textId="324D1F40" w:rsidR="00D00779" w:rsidRPr="006C189C" w:rsidRDefault="00D00779" w:rsidP="00A26A47">
            <w:pPr>
              <w:pStyle w:val="Bullet1"/>
              <w:ind w:left="-104"/>
              <w:jc w:val="center"/>
            </w:pPr>
            <w:r w:rsidRPr="00437BB1">
              <w:rPr>
                <w:sz w:val="40"/>
                <w:szCs w:val="40"/>
              </w:rPr>
              <w:sym w:font="Wingdings 2" w:char="F0A3"/>
            </w:r>
          </w:p>
        </w:tc>
      </w:tr>
      <w:tr w:rsidR="00D00779" w:rsidRPr="006C189C" w14:paraId="06CECED5" w14:textId="77777777" w:rsidTr="00A26A47">
        <w:tc>
          <w:tcPr>
            <w:tcW w:w="633" w:type="dxa"/>
          </w:tcPr>
          <w:p w14:paraId="4FB405CB" w14:textId="0E8ADFC6" w:rsidR="00D00779" w:rsidRDefault="00D00779" w:rsidP="00A26A47">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484F0B7F" w14:textId="72D39E85" w:rsidR="00D00779" w:rsidRPr="002A1724" w:rsidRDefault="00D00779" w:rsidP="00A26A47">
            <w:pPr>
              <w:pStyle w:val="Bullet1"/>
            </w:pPr>
            <w:r w:rsidRPr="002A1724">
              <w:t>Right to prepay part or all prior to maturity date; prepayment penalties.</w:t>
            </w:r>
          </w:p>
        </w:tc>
        <w:tc>
          <w:tcPr>
            <w:tcW w:w="900" w:type="dxa"/>
            <w:vAlign w:val="center"/>
          </w:tcPr>
          <w:p w14:paraId="1B78DD4F" w14:textId="1F03F920" w:rsidR="00D00779" w:rsidRPr="006C189C" w:rsidRDefault="00D00779" w:rsidP="00A26A47">
            <w:pPr>
              <w:pStyle w:val="Bullet1"/>
              <w:ind w:left="-104"/>
              <w:jc w:val="center"/>
            </w:pPr>
            <w:r w:rsidRPr="00437BB1">
              <w:rPr>
                <w:sz w:val="40"/>
                <w:szCs w:val="40"/>
              </w:rPr>
              <w:sym w:font="Wingdings 2" w:char="F0A3"/>
            </w:r>
          </w:p>
        </w:tc>
      </w:tr>
      <w:tr w:rsidR="00D00779" w:rsidRPr="006C189C" w14:paraId="744B9F72" w14:textId="77777777" w:rsidTr="00A26A47">
        <w:tc>
          <w:tcPr>
            <w:tcW w:w="633" w:type="dxa"/>
          </w:tcPr>
          <w:p w14:paraId="19D50609" w14:textId="510D6A06" w:rsidR="00D00779" w:rsidRDefault="00D00779" w:rsidP="00A26A47">
            <w:pPr>
              <w:spacing w:before="80" w:after="80"/>
              <w:jc w:val="right"/>
              <w:rPr>
                <w:rFonts w:ascii="Times New Roman" w:hAnsi="Times New Roman" w:cs="Times New Roman"/>
              </w:rPr>
            </w:pPr>
            <w:r>
              <w:rPr>
                <w:rFonts w:ascii="Times New Roman" w:hAnsi="Times New Roman" w:cs="Times New Roman"/>
              </w:rPr>
              <w:t>6.7</w:t>
            </w:r>
          </w:p>
        </w:tc>
        <w:tc>
          <w:tcPr>
            <w:tcW w:w="7822" w:type="dxa"/>
            <w:vAlign w:val="center"/>
          </w:tcPr>
          <w:p w14:paraId="1C55592B" w14:textId="13591AC3" w:rsidR="00D00779" w:rsidRPr="002A1724" w:rsidRDefault="00D00779" w:rsidP="00A26A47">
            <w:pPr>
              <w:pStyle w:val="Bullet1"/>
            </w:pPr>
            <w:r w:rsidRPr="002A1724">
              <w:t>Right of lender to deduct interest adjustment from the advance.</w:t>
            </w:r>
          </w:p>
        </w:tc>
        <w:tc>
          <w:tcPr>
            <w:tcW w:w="900" w:type="dxa"/>
            <w:vAlign w:val="center"/>
          </w:tcPr>
          <w:p w14:paraId="114A8E8E" w14:textId="10CB07A4" w:rsidR="00D00779" w:rsidRPr="006C189C" w:rsidRDefault="00D00779" w:rsidP="00A26A47">
            <w:pPr>
              <w:pStyle w:val="Bullet1"/>
              <w:ind w:left="-104"/>
              <w:jc w:val="center"/>
            </w:pPr>
            <w:r w:rsidRPr="00437BB1">
              <w:rPr>
                <w:sz w:val="40"/>
                <w:szCs w:val="40"/>
              </w:rPr>
              <w:sym w:font="Wingdings 2" w:char="F0A3"/>
            </w:r>
          </w:p>
        </w:tc>
      </w:tr>
      <w:tr w:rsidR="00D00779" w:rsidRPr="006C189C" w14:paraId="18BE8489" w14:textId="77777777" w:rsidTr="00A26A47">
        <w:tc>
          <w:tcPr>
            <w:tcW w:w="633" w:type="dxa"/>
          </w:tcPr>
          <w:p w14:paraId="78918763" w14:textId="5D63AC89" w:rsidR="00D00779" w:rsidRDefault="00D00779" w:rsidP="00A26A47">
            <w:pPr>
              <w:spacing w:before="80" w:after="80"/>
              <w:jc w:val="right"/>
              <w:rPr>
                <w:rFonts w:ascii="Times New Roman" w:hAnsi="Times New Roman" w:cs="Times New Roman"/>
              </w:rPr>
            </w:pPr>
            <w:r>
              <w:rPr>
                <w:rFonts w:ascii="Times New Roman" w:hAnsi="Times New Roman" w:cs="Times New Roman"/>
              </w:rPr>
              <w:t>6.8</w:t>
            </w:r>
          </w:p>
        </w:tc>
        <w:tc>
          <w:tcPr>
            <w:tcW w:w="7822" w:type="dxa"/>
            <w:vAlign w:val="center"/>
          </w:tcPr>
          <w:p w14:paraId="0203CF57" w14:textId="5F2FA4CB" w:rsidR="00D00779" w:rsidRPr="002A1724" w:rsidRDefault="00D00779" w:rsidP="00A26A47">
            <w:pPr>
              <w:pStyle w:val="Bullet1"/>
            </w:pPr>
            <w:r w:rsidRPr="002A1724">
              <w:t>Interest adjustment date and provisions.</w:t>
            </w:r>
          </w:p>
        </w:tc>
        <w:tc>
          <w:tcPr>
            <w:tcW w:w="900" w:type="dxa"/>
            <w:vAlign w:val="center"/>
          </w:tcPr>
          <w:p w14:paraId="6735DF25" w14:textId="30A7255B" w:rsidR="00D00779" w:rsidRPr="006C189C" w:rsidRDefault="00D00779" w:rsidP="00A26A47">
            <w:pPr>
              <w:pStyle w:val="Bullet1"/>
              <w:ind w:left="-104"/>
              <w:jc w:val="center"/>
            </w:pPr>
            <w:r w:rsidRPr="00437BB1">
              <w:rPr>
                <w:sz w:val="40"/>
                <w:szCs w:val="40"/>
              </w:rPr>
              <w:sym w:font="Wingdings 2" w:char="F0A3"/>
            </w:r>
          </w:p>
        </w:tc>
      </w:tr>
    </w:tbl>
    <w:p w14:paraId="18488804"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00779" w:rsidRPr="006C189C" w14:paraId="6548DC32" w14:textId="77777777" w:rsidTr="00A26A47">
        <w:tc>
          <w:tcPr>
            <w:tcW w:w="633" w:type="dxa"/>
            <w:shd w:val="clear" w:color="auto" w:fill="D9E2F3" w:themeFill="accent1" w:themeFillTint="33"/>
          </w:tcPr>
          <w:p w14:paraId="3196BA1A" w14:textId="55A4C2BA" w:rsidR="00D00779" w:rsidRPr="0024237C" w:rsidRDefault="00D00779" w:rsidP="00A26A47">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7E6E3735" w14:textId="148FE449" w:rsidR="00D00779" w:rsidRPr="006C189C" w:rsidRDefault="00D00779" w:rsidP="00A26A47">
            <w:pPr>
              <w:pStyle w:val="Heading1"/>
              <w:spacing w:before="80" w:after="80"/>
              <w:outlineLvl w:val="0"/>
            </w:pPr>
            <w:r w:rsidRPr="002A1724">
              <w:t>EXPRESS EXCLUSION OF SPECIFIED</w:t>
            </w:r>
            <w:r>
              <w:t xml:space="preserve"> </w:t>
            </w:r>
            <w:r w:rsidRPr="002A1724">
              <w:t>LAND TRANSFER FORM ACT CLAUSES</w:t>
            </w:r>
          </w:p>
        </w:tc>
      </w:tr>
      <w:tr w:rsidR="00D00779" w:rsidRPr="006C189C" w14:paraId="51627EA0" w14:textId="77777777" w:rsidTr="00A26A47">
        <w:tc>
          <w:tcPr>
            <w:tcW w:w="633" w:type="dxa"/>
          </w:tcPr>
          <w:p w14:paraId="37345264" w14:textId="43389AA7" w:rsidR="00D00779" w:rsidRPr="006C189C" w:rsidRDefault="00D00779" w:rsidP="00A26A47">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6D499334" w14:textId="05C8692D" w:rsidR="00D00779" w:rsidRPr="0058483D" w:rsidRDefault="00D00779" w:rsidP="00A26A47">
            <w:pPr>
              <w:pStyle w:val="Bullet1"/>
            </w:pPr>
            <w:r w:rsidRPr="0058483D">
              <w:t xml:space="preserve">If the mortgage is made pursuant to the </w:t>
            </w:r>
            <w:r w:rsidRPr="0058483D">
              <w:rPr>
                <w:rStyle w:val="Italics"/>
                <w:rFonts w:ascii="Times New Roman" w:hAnsi="Times New Roman"/>
                <w:sz w:val="22"/>
              </w:rPr>
              <w:t>Land Transfer Form Act</w:t>
            </w:r>
            <w:r w:rsidRPr="0058483D">
              <w:t>, consider excepting out the provision in Clause 15, Column 2 of Schedule 6, which allows the borrower automatic relief from acceleration upon repayment of arrears.</w:t>
            </w:r>
          </w:p>
        </w:tc>
        <w:tc>
          <w:tcPr>
            <w:tcW w:w="900" w:type="dxa"/>
            <w:vAlign w:val="center"/>
          </w:tcPr>
          <w:p w14:paraId="3AA119AB" w14:textId="77777777" w:rsidR="00D00779" w:rsidRPr="006C189C" w:rsidRDefault="00D00779" w:rsidP="00A26A47">
            <w:pPr>
              <w:pStyle w:val="Bullet1"/>
              <w:ind w:left="-104"/>
              <w:jc w:val="center"/>
            </w:pPr>
            <w:r w:rsidRPr="00437BB1">
              <w:rPr>
                <w:sz w:val="40"/>
                <w:szCs w:val="40"/>
              </w:rPr>
              <w:sym w:font="Wingdings 2" w:char="F0A3"/>
            </w:r>
          </w:p>
        </w:tc>
      </w:tr>
    </w:tbl>
    <w:p w14:paraId="5ADD699B"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00779" w:rsidRPr="006C189C" w14:paraId="2E132BC7" w14:textId="77777777" w:rsidTr="00A26A47">
        <w:tc>
          <w:tcPr>
            <w:tcW w:w="633" w:type="dxa"/>
            <w:shd w:val="clear" w:color="auto" w:fill="D9E2F3" w:themeFill="accent1" w:themeFillTint="33"/>
          </w:tcPr>
          <w:p w14:paraId="7B2946DB" w14:textId="6A8A69E2" w:rsidR="00D00779" w:rsidRPr="0024237C" w:rsidRDefault="00D00779" w:rsidP="00A26A47">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799040CF" w14:textId="2B75F7BA" w:rsidR="00D00779" w:rsidRPr="006C189C" w:rsidRDefault="00D00779" w:rsidP="00A26A47">
            <w:pPr>
              <w:pStyle w:val="Heading1"/>
              <w:spacing w:before="80" w:after="80"/>
              <w:outlineLvl w:val="0"/>
            </w:pPr>
            <w:r w:rsidRPr="002A1724">
              <w:t>Borrower’S REPRESENTATIONS AND COVENANTS</w:t>
            </w:r>
          </w:p>
        </w:tc>
      </w:tr>
      <w:tr w:rsidR="00D00779" w:rsidRPr="006C189C" w14:paraId="2FC900CC" w14:textId="77777777" w:rsidTr="00A26A47">
        <w:tc>
          <w:tcPr>
            <w:tcW w:w="633" w:type="dxa"/>
          </w:tcPr>
          <w:p w14:paraId="30833E65" w14:textId="25830988" w:rsidR="00D00779" w:rsidRPr="006C189C" w:rsidRDefault="00D00779" w:rsidP="00A26A47">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35FD7F02" w14:textId="04DB9D3D" w:rsidR="00D00779" w:rsidRPr="00C56880" w:rsidRDefault="00D00779" w:rsidP="00A26A47">
            <w:pPr>
              <w:pStyle w:val="Bullet1"/>
            </w:pPr>
            <w:r w:rsidRPr="00C56880">
              <w:t>Accuracy of representations.</w:t>
            </w:r>
          </w:p>
        </w:tc>
        <w:tc>
          <w:tcPr>
            <w:tcW w:w="900" w:type="dxa"/>
            <w:vAlign w:val="center"/>
          </w:tcPr>
          <w:p w14:paraId="58FE5328"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037C0045" w14:textId="77777777" w:rsidTr="00A26A47">
        <w:tc>
          <w:tcPr>
            <w:tcW w:w="633" w:type="dxa"/>
          </w:tcPr>
          <w:p w14:paraId="4D304EBA" w14:textId="5813388B" w:rsidR="00D00779" w:rsidRDefault="00D00779" w:rsidP="00A26A47">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51490D63" w14:textId="0560B3B8" w:rsidR="00D00779" w:rsidRPr="00C56880" w:rsidRDefault="00D00779" w:rsidP="00A26A47">
            <w:pPr>
              <w:pStyle w:val="Bullet1"/>
            </w:pPr>
            <w:r w:rsidRPr="00C56880">
              <w:t>Borrower has done and will do nothing to transfer the property or encumber the property, except as specified.</w:t>
            </w:r>
          </w:p>
        </w:tc>
        <w:tc>
          <w:tcPr>
            <w:tcW w:w="900" w:type="dxa"/>
            <w:vAlign w:val="center"/>
          </w:tcPr>
          <w:p w14:paraId="7A93644E" w14:textId="212A7C67" w:rsidR="00D00779" w:rsidRPr="006C189C" w:rsidRDefault="00D00779" w:rsidP="00A26A47">
            <w:pPr>
              <w:pStyle w:val="Bullet1"/>
              <w:ind w:left="-104"/>
              <w:jc w:val="center"/>
            </w:pPr>
            <w:r w:rsidRPr="00437BB1">
              <w:rPr>
                <w:sz w:val="40"/>
                <w:szCs w:val="40"/>
              </w:rPr>
              <w:sym w:font="Wingdings 2" w:char="F0A3"/>
            </w:r>
          </w:p>
        </w:tc>
      </w:tr>
      <w:tr w:rsidR="00D00779" w:rsidRPr="006C189C" w14:paraId="41554C55" w14:textId="77777777" w:rsidTr="00A26A47">
        <w:tc>
          <w:tcPr>
            <w:tcW w:w="633" w:type="dxa"/>
          </w:tcPr>
          <w:p w14:paraId="3584D29D" w14:textId="7A413FB6" w:rsidR="00D00779" w:rsidRDefault="00D00779" w:rsidP="00A26A47">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43909957" w14:textId="35307C5C" w:rsidR="00D00779" w:rsidRPr="00C56880" w:rsidRDefault="00D00779" w:rsidP="00A26A47">
            <w:pPr>
              <w:pStyle w:val="Bullet1"/>
            </w:pPr>
            <w:r w:rsidRPr="00C56880">
              <w:t>To pay the principal and interest when due.</w:t>
            </w:r>
          </w:p>
        </w:tc>
        <w:tc>
          <w:tcPr>
            <w:tcW w:w="900" w:type="dxa"/>
            <w:vAlign w:val="center"/>
          </w:tcPr>
          <w:p w14:paraId="1D578350" w14:textId="27732C77" w:rsidR="00D00779" w:rsidRPr="006C189C" w:rsidRDefault="00D00779" w:rsidP="00A26A47">
            <w:pPr>
              <w:pStyle w:val="Bullet1"/>
              <w:ind w:left="-104"/>
              <w:jc w:val="center"/>
            </w:pPr>
            <w:r w:rsidRPr="00437BB1">
              <w:rPr>
                <w:sz w:val="40"/>
                <w:szCs w:val="40"/>
              </w:rPr>
              <w:sym w:font="Wingdings 2" w:char="F0A3"/>
            </w:r>
          </w:p>
        </w:tc>
      </w:tr>
      <w:tr w:rsidR="00D00779" w:rsidRPr="006C189C" w14:paraId="11706DA1" w14:textId="77777777" w:rsidTr="00A26A47">
        <w:tc>
          <w:tcPr>
            <w:tcW w:w="633" w:type="dxa"/>
          </w:tcPr>
          <w:p w14:paraId="1532225E" w14:textId="7E3D7A80" w:rsidR="00D00779" w:rsidRDefault="00D00779" w:rsidP="00A26A47">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3F5D2905" w14:textId="4570565E" w:rsidR="00D00779" w:rsidRPr="00C56880" w:rsidRDefault="00D00779" w:rsidP="00A26A47">
            <w:pPr>
              <w:pStyle w:val="Bullet1"/>
            </w:pPr>
            <w:r w:rsidRPr="00C56880">
              <w:t>To pay all costs relating to:</w:t>
            </w:r>
          </w:p>
        </w:tc>
        <w:tc>
          <w:tcPr>
            <w:tcW w:w="900" w:type="dxa"/>
            <w:vAlign w:val="center"/>
          </w:tcPr>
          <w:p w14:paraId="73FB797C" w14:textId="79A8BBE3" w:rsidR="00D00779" w:rsidRPr="006C189C" w:rsidRDefault="00D00779" w:rsidP="00A26A47">
            <w:pPr>
              <w:pStyle w:val="Bullet1"/>
              <w:ind w:left="-104"/>
              <w:jc w:val="center"/>
            </w:pPr>
            <w:r w:rsidRPr="00437BB1">
              <w:rPr>
                <w:sz w:val="40"/>
                <w:szCs w:val="40"/>
              </w:rPr>
              <w:sym w:font="Wingdings 2" w:char="F0A3"/>
            </w:r>
          </w:p>
        </w:tc>
      </w:tr>
      <w:tr w:rsidR="00D00779" w:rsidRPr="006C189C" w14:paraId="57733442" w14:textId="77777777" w:rsidTr="00A26A47">
        <w:tc>
          <w:tcPr>
            <w:tcW w:w="633" w:type="dxa"/>
          </w:tcPr>
          <w:p w14:paraId="46B777AC" w14:textId="77777777" w:rsidR="00D00779" w:rsidRDefault="00D00779" w:rsidP="00A26A47">
            <w:pPr>
              <w:spacing w:before="80" w:after="80"/>
              <w:jc w:val="right"/>
              <w:rPr>
                <w:rFonts w:ascii="Times New Roman" w:hAnsi="Times New Roman" w:cs="Times New Roman"/>
              </w:rPr>
            </w:pPr>
          </w:p>
        </w:tc>
        <w:tc>
          <w:tcPr>
            <w:tcW w:w="7822" w:type="dxa"/>
            <w:vAlign w:val="center"/>
          </w:tcPr>
          <w:p w14:paraId="0776DB2D" w14:textId="760AF138" w:rsidR="00D00779" w:rsidRPr="00C56880" w:rsidRDefault="00D00779" w:rsidP="001821D1">
            <w:pPr>
              <w:pStyle w:val="Bullet2"/>
              <w:ind w:hanging="288"/>
            </w:pPr>
            <w:r w:rsidRPr="00C56880">
              <w:t>.1</w:t>
            </w:r>
            <w:r w:rsidRPr="00C56880">
              <w:tab/>
            </w:r>
            <w:r w:rsidR="00CD45E7" w:rsidRPr="00C56880">
              <w:t>The creation, registration, and discharge of the mortgage.</w:t>
            </w:r>
          </w:p>
        </w:tc>
        <w:tc>
          <w:tcPr>
            <w:tcW w:w="900" w:type="dxa"/>
            <w:vAlign w:val="center"/>
          </w:tcPr>
          <w:p w14:paraId="75C31114" w14:textId="77777777" w:rsidR="00D00779" w:rsidRPr="006C189C" w:rsidRDefault="00D00779" w:rsidP="00A26A47">
            <w:pPr>
              <w:pStyle w:val="Bullet1"/>
              <w:ind w:left="-104"/>
              <w:jc w:val="center"/>
            </w:pPr>
          </w:p>
        </w:tc>
      </w:tr>
      <w:tr w:rsidR="00D00779" w:rsidRPr="006C189C" w14:paraId="53C2D9F3" w14:textId="77777777" w:rsidTr="00A26A47">
        <w:tc>
          <w:tcPr>
            <w:tcW w:w="633" w:type="dxa"/>
          </w:tcPr>
          <w:p w14:paraId="35E823FC" w14:textId="77777777" w:rsidR="00D00779" w:rsidRDefault="00D00779" w:rsidP="00A26A47">
            <w:pPr>
              <w:spacing w:before="80" w:after="80"/>
              <w:jc w:val="right"/>
              <w:rPr>
                <w:rFonts w:ascii="Times New Roman" w:hAnsi="Times New Roman" w:cs="Times New Roman"/>
              </w:rPr>
            </w:pPr>
          </w:p>
        </w:tc>
        <w:tc>
          <w:tcPr>
            <w:tcW w:w="7822" w:type="dxa"/>
            <w:vAlign w:val="center"/>
          </w:tcPr>
          <w:p w14:paraId="25B959A2" w14:textId="77C4B3A8" w:rsidR="00D00779" w:rsidRPr="00C56880" w:rsidRDefault="00D00779" w:rsidP="001821D1">
            <w:pPr>
              <w:pStyle w:val="Bullet2"/>
              <w:ind w:hanging="288"/>
            </w:pPr>
            <w:r w:rsidRPr="00C56880">
              <w:t>.2</w:t>
            </w:r>
            <w:r w:rsidRPr="00C56880">
              <w:tab/>
            </w:r>
            <w:r w:rsidR="00CD45E7" w:rsidRPr="00C56880">
              <w:rPr>
                <w:spacing w:val="-5"/>
              </w:rPr>
              <w:t xml:space="preserve">An assignment under the </w:t>
            </w:r>
            <w:r w:rsidR="00CD45E7" w:rsidRPr="00C56880">
              <w:rPr>
                <w:rStyle w:val="Italics"/>
                <w:rFonts w:ascii="Times New Roman" w:hAnsi="Times New Roman"/>
                <w:spacing w:val="-5"/>
                <w:sz w:val="22"/>
              </w:rPr>
              <w:t>Law and Equity Act</w:t>
            </w:r>
            <w:r w:rsidR="00CD45E7" w:rsidRPr="00C56880">
              <w:rPr>
                <w:spacing w:val="-5"/>
              </w:rPr>
              <w:t>, R.S.B.C. 1996, c. 253, s. 14.</w:t>
            </w:r>
          </w:p>
        </w:tc>
        <w:tc>
          <w:tcPr>
            <w:tcW w:w="900" w:type="dxa"/>
            <w:vAlign w:val="center"/>
          </w:tcPr>
          <w:p w14:paraId="52B06295" w14:textId="77777777" w:rsidR="00D00779" w:rsidRPr="006C189C" w:rsidRDefault="00D00779" w:rsidP="00A26A47">
            <w:pPr>
              <w:pStyle w:val="Bullet1"/>
              <w:ind w:left="-104"/>
              <w:jc w:val="center"/>
            </w:pPr>
          </w:p>
        </w:tc>
      </w:tr>
    </w:tbl>
    <w:p w14:paraId="30324A44" w14:textId="77777777" w:rsidR="00AB07A3" w:rsidRDefault="00AB07A3">
      <w:r>
        <w:br w:type="page"/>
      </w:r>
    </w:p>
    <w:tbl>
      <w:tblPr>
        <w:tblStyle w:val="TableGrid"/>
        <w:tblW w:w="0" w:type="auto"/>
        <w:tblLook w:val="04A0" w:firstRow="1" w:lastRow="0" w:firstColumn="1" w:lastColumn="0" w:noHBand="0" w:noVBand="1"/>
      </w:tblPr>
      <w:tblGrid>
        <w:gridCol w:w="633"/>
        <w:gridCol w:w="7822"/>
        <w:gridCol w:w="900"/>
      </w:tblGrid>
      <w:tr w:rsidR="00D00779" w:rsidRPr="006C189C" w14:paraId="6DF311A9" w14:textId="77777777" w:rsidTr="00A26A47">
        <w:tc>
          <w:tcPr>
            <w:tcW w:w="633" w:type="dxa"/>
          </w:tcPr>
          <w:p w14:paraId="529B2098" w14:textId="1DE9DF90" w:rsidR="00D00779" w:rsidRDefault="00D00779" w:rsidP="00A26A47">
            <w:pPr>
              <w:spacing w:before="80" w:after="80"/>
              <w:jc w:val="right"/>
              <w:rPr>
                <w:rFonts w:ascii="Times New Roman" w:hAnsi="Times New Roman" w:cs="Times New Roman"/>
              </w:rPr>
            </w:pPr>
          </w:p>
        </w:tc>
        <w:tc>
          <w:tcPr>
            <w:tcW w:w="7822" w:type="dxa"/>
            <w:vAlign w:val="center"/>
          </w:tcPr>
          <w:p w14:paraId="243E5909" w14:textId="193A9DE8" w:rsidR="00D00779" w:rsidRPr="00C56880" w:rsidRDefault="00D00779" w:rsidP="001821D1">
            <w:pPr>
              <w:pStyle w:val="Bullet2"/>
              <w:ind w:hanging="288"/>
            </w:pPr>
            <w:r w:rsidRPr="00C56880">
              <w:t>.3</w:t>
            </w:r>
            <w:r w:rsidRPr="00C56880">
              <w:tab/>
            </w:r>
            <w:r w:rsidR="00CD45E7" w:rsidRPr="00C56880">
              <w:t>Lender’s costs in the event of default, including enforcement costs.</w:t>
            </w:r>
          </w:p>
        </w:tc>
        <w:tc>
          <w:tcPr>
            <w:tcW w:w="900" w:type="dxa"/>
            <w:vAlign w:val="center"/>
          </w:tcPr>
          <w:p w14:paraId="06EA84BE" w14:textId="77777777" w:rsidR="00D00779" w:rsidRPr="006C189C" w:rsidRDefault="00D00779" w:rsidP="00A26A47">
            <w:pPr>
              <w:pStyle w:val="Bullet1"/>
              <w:ind w:left="-104"/>
              <w:jc w:val="center"/>
            </w:pPr>
          </w:p>
        </w:tc>
      </w:tr>
      <w:tr w:rsidR="00CD45E7" w:rsidRPr="006C189C" w14:paraId="50DCA1C8" w14:textId="77777777" w:rsidTr="00A26A47">
        <w:tc>
          <w:tcPr>
            <w:tcW w:w="633" w:type="dxa"/>
          </w:tcPr>
          <w:p w14:paraId="2B891816" w14:textId="20A525F1" w:rsidR="00CD45E7" w:rsidRDefault="00CD45E7" w:rsidP="00A26A47">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456DBD2A" w14:textId="349DE208" w:rsidR="00CD45E7" w:rsidRPr="00C56880" w:rsidRDefault="00CD45E7" w:rsidP="00CD45E7">
            <w:pPr>
              <w:pStyle w:val="Bullet1"/>
            </w:pPr>
            <w:r w:rsidRPr="00C56880">
              <w:t>Title to the mortgaged property:</w:t>
            </w:r>
          </w:p>
        </w:tc>
        <w:tc>
          <w:tcPr>
            <w:tcW w:w="900" w:type="dxa"/>
            <w:vAlign w:val="center"/>
          </w:tcPr>
          <w:p w14:paraId="1DFEBE70" w14:textId="13EFC566" w:rsidR="00CD45E7" w:rsidRPr="006C189C" w:rsidRDefault="00CD45E7" w:rsidP="00A26A47">
            <w:pPr>
              <w:pStyle w:val="Bullet1"/>
              <w:ind w:left="-104"/>
              <w:jc w:val="center"/>
            </w:pPr>
            <w:r w:rsidRPr="00437BB1">
              <w:rPr>
                <w:sz w:val="40"/>
                <w:szCs w:val="40"/>
              </w:rPr>
              <w:sym w:font="Wingdings 2" w:char="F0A3"/>
            </w:r>
          </w:p>
        </w:tc>
      </w:tr>
      <w:tr w:rsidR="00CD45E7" w:rsidRPr="006C189C" w14:paraId="1DF4658C" w14:textId="77777777" w:rsidTr="00A26A47">
        <w:tc>
          <w:tcPr>
            <w:tcW w:w="633" w:type="dxa"/>
          </w:tcPr>
          <w:p w14:paraId="013849F6" w14:textId="77777777" w:rsidR="00CD45E7" w:rsidRDefault="00CD45E7" w:rsidP="00A26A47">
            <w:pPr>
              <w:spacing w:before="80" w:after="80"/>
              <w:jc w:val="right"/>
              <w:rPr>
                <w:rFonts w:ascii="Times New Roman" w:hAnsi="Times New Roman" w:cs="Times New Roman"/>
              </w:rPr>
            </w:pPr>
          </w:p>
        </w:tc>
        <w:tc>
          <w:tcPr>
            <w:tcW w:w="7822" w:type="dxa"/>
            <w:vAlign w:val="center"/>
          </w:tcPr>
          <w:p w14:paraId="677A00DC" w14:textId="6FFF1F48" w:rsidR="00CD45E7" w:rsidRPr="00C56880" w:rsidRDefault="00CD45E7" w:rsidP="001821D1">
            <w:pPr>
              <w:pStyle w:val="Bullet2"/>
              <w:ind w:hanging="288"/>
            </w:pPr>
            <w:r w:rsidRPr="00C56880">
              <w:t>.1</w:t>
            </w:r>
            <w:r w:rsidRPr="00C56880">
              <w:tab/>
              <w:t>Borrower has title and right to convey the property.</w:t>
            </w:r>
          </w:p>
        </w:tc>
        <w:tc>
          <w:tcPr>
            <w:tcW w:w="900" w:type="dxa"/>
            <w:vAlign w:val="center"/>
          </w:tcPr>
          <w:p w14:paraId="4E7FF55A" w14:textId="77777777" w:rsidR="00CD45E7" w:rsidRPr="006C189C" w:rsidRDefault="00CD45E7" w:rsidP="00A26A47">
            <w:pPr>
              <w:pStyle w:val="Bullet1"/>
              <w:ind w:left="-104"/>
              <w:jc w:val="center"/>
            </w:pPr>
          </w:p>
        </w:tc>
      </w:tr>
      <w:tr w:rsidR="00CD45E7" w:rsidRPr="006C189C" w14:paraId="3FF1F344" w14:textId="77777777" w:rsidTr="00A26A47">
        <w:tc>
          <w:tcPr>
            <w:tcW w:w="633" w:type="dxa"/>
          </w:tcPr>
          <w:p w14:paraId="4925368C" w14:textId="77777777" w:rsidR="00CD45E7" w:rsidRDefault="00CD45E7" w:rsidP="00A26A47">
            <w:pPr>
              <w:spacing w:before="80" w:after="80"/>
              <w:jc w:val="right"/>
              <w:rPr>
                <w:rFonts w:ascii="Times New Roman" w:hAnsi="Times New Roman" w:cs="Times New Roman"/>
              </w:rPr>
            </w:pPr>
          </w:p>
        </w:tc>
        <w:tc>
          <w:tcPr>
            <w:tcW w:w="7822" w:type="dxa"/>
            <w:vAlign w:val="center"/>
          </w:tcPr>
          <w:p w14:paraId="33AA7A58" w14:textId="7DCABA76" w:rsidR="00CD45E7" w:rsidRPr="00C56880" w:rsidRDefault="00CD45E7" w:rsidP="001821D1">
            <w:pPr>
              <w:pStyle w:val="Bullet2"/>
              <w:ind w:hanging="288"/>
            </w:pPr>
            <w:r w:rsidRPr="00C56880">
              <w:t>.2</w:t>
            </w:r>
            <w:r w:rsidRPr="00C56880">
              <w:tab/>
              <w:t>Borrower will defend title.</w:t>
            </w:r>
          </w:p>
        </w:tc>
        <w:tc>
          <w:tcPr>
            <w:tcW w:w="900" w:type="dxa"/>
            <w:vAlign w:val="center"/>
          </w:tcPr>
          <w:p w14:paraId="2E244182" w14:textId="77777777" w:rsidR="00CD45E7" w:rsidRPr="006C189C" w:rsidRDefault="00CD45E7" w:rsidP="00A26A47">
            <w:pPr>
              <w:pStyle w:val="Bullet1"/>
              <w:ind w:left="-104"/>
              <w:jc w:val="center"/>
            </w:pPr>
          </w:p>
        </w:tc>
      </w:tr>
      <w:tr w:rsidR="00CD45E7" w:rsidRPr="006C189C" w14:paraId="285DA1FA" w14:textId="77777777" w:rsidTr="00A26A47">
        <w:tc>
          <w:tcPr>
            <w:tcW w:w="633" w:type="dxa"/>
          </w:tcPr>
          <w:p w14:paraId="21638C6B" w14:textId="3F8E8838" w:rsidR="00CD45E7" w:rsidRDefault="00CD45E7" w:rsidP="00A26A47">
            <w:pPr>
              <w:spacing w:before="80" w:after="80"/>
              <w:jc w:val="right"/>
              <w:rPr>
                <w:rFonts w:ascii="Times New Roman" w:hAnsi="Times New Roman" w:cs="Times New Roman"/>
              </w:rPr>
            </w:pPr>
            <w:r>
              <w:rPr>
                <w:rFonts w:ascii="Times New Roman" w:hAnsi="Times New Roman" w:cs="Times New Roman"/>
              </w:rPr>
              <w:t>8.6</w:t>
            </w:r>
          </w:p>
        </w:tc>
        <w:tc>
          <w:tcPr>
            <w:tcW w:w="7822" w:type="dxa"/>
            <w:vAlign w:val="center"/>
          </w:tcPr>
          <w:p w14:paraId="030EB918" w14:textId="467329EB" w:rsidR="00CD45E7" w:rsidRPr="00C56880" w:rsidRDefault="00CD45E7" w:rsidP="00CD45E7">
            <w:pPr>
              <w:pStyle w:val="Bullet1"/>
            </w:pPr>
            <w:r w:rsidRPr="00C56880">
              <w:t>Release of all claims on the property subject to the payment proviso.</w:t>
            </w:r>
          </w:p>
        </w:tc>
        <w:tc>
          <w:tcPr>
            <w:tcW w:w="900" w:type="dxa"/>
            <w:vAlign w:val="center"/>
          </w:tcPr>
          <w:p w14:paraId="66DF877D" w14:textId="031DC0ED" w:rsidR="00CD45E7" w:rsidRPr="006C189C" w:rsidRDefault="00CD45E7" w:rsidP="00A26A47">
            <w:pPr>
              <w:pStyle w:val="Bullet1"/>
              <w:ind w:left="-104"/>
              <w:jc w:val="center"/>
            </w:pPr>
            <w:r w:rsidRPr="00437BB1">
              <w:rPr>
                <w:sz w:val="40"/>
                <w:szCs w:val="40"/>
              </w:rPr>
              <w:sym w:font="Wingdings 2" w:char="F0A3"/>
            </w:r>
          </w:p>
        </w:tc>
      </w:tr>
      <w:tr w:rsidR="00CD45E7" w:rsidRPr="006C189C" w14:paraId="0BEAD033" w14:textId="77777777" w:rsidTr="00A26A47">
        <w:tc>
          <w:tcPr>
            <w:tcW w:w="633" w:type="dxa"/>
          </w:tcPr>
          <w:p w14:paraId="55198AA8" w14:textId="56133170" w:rsidR="00CD45E7" w:rsidRDefault="00CD45E7" w:rsidP="00A26A47">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4FE940B2" w14:textId="2A84B99D" w:rsidR="00CD45E7" w:rsidRDefault="00CD45E7" w:rsidP="00CD45E7">
            <w:pPr>
              <w:pStyle w:val="Bullet1"/>
            </w:pPr>
            <w:r w:rsidRPr="002A1724">
              <w:t>To maintain the property and keep it in good repair, and to make all repairs reasonably required by the lender.</w:t>
            </w:r>
          </w:p>
        </w:tc>
        <w:tc>
          <w:tcPr>
            <w:tcW w:w="900" w:type="dxa"/>
            <w:vAlign w:val="center"/>
          </w:tcPr>
          <w:p w14:paraId="4263DB8F" w14:textId="28780FEF" w:rsidR="00CD45E7" w:rsidRPr="006C189C" w:rsidRDefault="00CD45E7" w:rsidP="00A26A47">
            <w:pPr>
              <w:pStyle w:val="Bullet1"/>
              <w:ind w:left="-104"/>
              <w:jc w:val="center"/>
            </w:pPr>
            <w:r w:rsidRPr="00437BB1">
              <w:rPr>
                <w:sz w:val="40"/>
                <w:szCs w:val="40"/>
              </w:rPr>
              <w:sym w:font="Wingdings 2" w:char="F0A3"/>
            </w:r>
          </w:p>
        </w:tc>
      </w:tr>
      <w:tr w:rsidR="00CD45E7" w:rsidRPr="006C189C" w14:paraId="3E18B0BE" w14:textId="77777777" w:rsidTr="00A26A47">
        <w:tc>
          <w:tcPr>
            <w:tcW w:w="633" w:type="dxa"/>
          </w:tcPr>
          <w:p w14:paraId="3E6EE724" w14:textId="68CA351A" w:rsidR="00CD45E7" w:rsidRDefault="00CD45E7" w:rsidP="00A26A47">
            <w:pPr>
              <w:spacing w:before="80" w:after="80"/>
              <w:jc w:val="right"/>
              <w:rPr>
                <w:rFonts w:ascii="Times New Roman" w:hAnsi="Times New Roman" w:cs="Times New Roman"/>
              </w:rPr>
            </w:pPr>
            <w:r>
              <w:rPr>
                <w:rFonts w:ascii="Times New Roman" w:hAnsi="Times New Roman" w:cs="Times New Roman"/>
              </w:rPr>
              <w:t>8.8</w:t>
            </w:r>
          </w:p>
        </w:tc>
        <w:tc>
          <w:tcPr>
            <w:tcW w:w="7822" w:type="dxa"/>
            <w:vAlign w:val="center"/>
          </w:tcPr>
          <w:p w14:paraId="3FA6263F" w14:textId="25BF975A" w:rsidR="00CD45E7" w:rsidRDefault="00CD45E7" w:rsidP="00CD45E7">
            <w:pPr>
              <w:pStyle w:val="Bullet1"/>
            </w:pPr>
            <w:r w:rsidRPr="002A1724">
              <w:t>Not to abandon or leave the property unoccupied for more than 30 days.</w:t>
            </w:r>
          </w:p>
        </w:tc>
        <w:tc>
          <w:tcPr>
            <w:tcW w:w="900" w:type="dxa"/>
            <w:vAlign w:val="center"/>
          </w:tcPr>
          <w:p w14:paraId="64161461" w14:textId="4370BFD1" w:rsidR="00CD45E7" w:rsidRPr="006C189C" w:rsidRDefault="00CD45E7" w:rsidP="00A26A47">
            <w:pPr>
              <w:pStyle w:val="Bullet1"/>
              <w:ind w:left="-104"/>
              <w:jc w:val="center"/>
            </w:pPr>
            <w:r w:rsidRPr="00437BB1">
              <w:rPr>
                <w:sz w:val="40"/>
                <w:szCs w:val="40"/>
              </w:rPr>
              <w:sym w:font="Wingdings 2" w:char="F0A3"/>
            </w:r>
          </w:p>
        </w:tc>
      </w:tr>
      <w:tr w:rsidR="00CD45E7" w:rsidRPr="006C189C" w14:paraId="1E6B3121" w14:textId="77777777" w:rsidTr="00A26A47">
        <w:tc>
          <w:tcPr>
            <w:tcW w:w="633" w:type="dxa"/>
          </w:tcPr>
          <w:p w14:paraId="613A48A0" w14:textId="4FD37351" w:rsidR="00CD45E7" w:rsidRDefault="00CD45E7" w:rsidP="00A26A47">
            <w:pPr>
              <w:spacing w:before="80" w:after="80"/>
              <w:jc w:val="right"/>
              <w:rPr>
                <w:rFonts w:ascii="Times New Roman" w:hAnsi="Times New Roman" w:cs="Times New Roman"/>
              </w:rPr>
            </w:pPr>
            <w:r>
              <w:rPr>
                <w:rFonts w:ascii="Times New Roman" w:hAnsi="Times New Roman" w:cs="Times New Roman"/>
              </w:rPr>
              <w:t>8.9</w:t>
            </w:r>
          </w:p>
        </w:tc>
        <w:tc>
          <w:tcPr>
            <w:tcW w:w="7822" w:type="dxa"/>
            <w:vAlign w:val="center"/>
          </w:tcPr>
          <w:p w14:paraId="14010974" w14:textId="5C3D3888" w:rsidR="00CD45E7" w:rsidRDefault="00CD45E7" w:rsidP="00CD45E7">
            <w:pPr>
              <w:pStyle w:val="Bullet1"/>
            </w:pPr>
            <w:r w:rsidRPr="002A1724">
              <w:t>Not to do anything that will decrease the value of the property.</w:t>
            </w:r>
          </w:p>
        </w:tc>
        <w:tc>
          <w:tcPr>
            <w:tcW w:w="900" w:type="dxa"/>
            <w:vAlign w:val="center"/>
          </w:tcPr>
          <w:p w14:paraId="06D46D21" w14:textId="76F4C150" w:rsidR="00CD45E7" w:rsidRPr="006C189C" w:rsidRDefault="00CD45E7" w:rsidP="00A26A47">
            <w:pPr>
              <w:pStyle w:val="Bullet1"/>
              <w:ind w:left="-104"/>
              <w:jc w:val="center"/>
            </w:pPr>
            <w:r w:rsidRPr="00437BB1">
              <w:rPr>
                <w:sz w:val="40"/>
                <w:szCs w:val="40"/>
              </w:rPr>
              <w:sym w:font="Wingdings 2" w:char="F0A3"/>
            </w:r>
          </w:p>
        </w:tc>
      </w:tr>
      <w:tr w:rsidR="00CD45E7" w:rsidRPr="006C189C" w14:paraId="78E333BE" w14:textId="77777777" w:rsidTr="00A26A47">
        <w:tc>
          <w:tcPr>
            <w:tcW w:w="633" w:type="dxa"/>
          </w:tcPr>
          <w:p w14:paraId="328E6F2C" w14:textId="15984A5E" w:rsidR="00CD45E7" w:rsidRDefault="00CD45E7" w:rsidP="00A26A47">
            <w:pPr>
              <w:spacing w:before="80" w:after="80"/>
              <w:jc w:val="right"/>
              <w:rPr>
                <w:rFonts w:ascii="Times New Roman" w:hAnsi="Times New Roman" w:cs="Times New Roman"/>
              </w:rPr>
            </w:pPr>
            <w:r>
              <w:rPr>
                <w:rFonts w:ascii="Times New Roman" w:hAnsi="Times New Roman" w:cs="Times New Roman"/>
              </w:rPr>
              <w:t>8.10</w:t>
            </w:r>
          </w:p>
        </w:tc>
        <w:tc>
          <w:tcPr>
            <w:tcW w:w="7822" w:type="dxa"/>
            <w:vAlign w:val="center"/>
          </w:tcPr>
          <w:p w14:paraId="1D4BA7E7" w14:textId="351EAA05" w:rsidR="00CD45E7" w:rsidRDefault="00CD45E7" w:rsidP="00CD45E7">
            <w:pPr>
              <w:pStyle w:val="Bullet1"/>
            </w:pPr>
            <w:r w:rsidRPr="002A1724">
              <w:t>Insurance:</w:t>
            </w:r>
          </w:p>
        </w:tc>
        <w:tc>
          <w:tcPr>
            <w:tcW w:w="900" w:type="dxa"/>
            <w:vAlign w:val="center"/>
          </w:tcPr>
          <w:p w14:paraId="7A75163E" w14:textId="3529F327" w:rsidR="00CD45E7" w:rsidRPr="006C189C" w:rsidRDefault="00CD45E7" w:rsidP="00A26A47">
            <w:pPr>
              <w:pStyle w:val="Bullet1"/>
              <w:ind w:left="-104"/>
              <w:jc w:val="center"/>
            </w:pPr>
            <w:r w:rsidRPr="00437BB1">
              <w:rPr>
                <w:sz w:val="40"/>
                <w:szCs w:val="40"/>
              </w:rPr>
              <w:sym w:font="Wingdings 2" w:char="F0A3"/>
            </w:r>
          </w:p>
        </w:tc>
      </w:tr>
      <w:tr w:rsidR="00CD45E7" w:rsidRPr="006C189C" w14:paraId="21CE5625" w14:textId="77777777" w:rsidTr="00A26A47">
        <w:tc>
          <w:tcPr>
            <w:tcW w:w="633" w:type="dxa"/>
          </w:tcPr>
          <w:p w14:paraId="317F3DD8" w14:textId="77777777" w:rsidR="00CD45E7" w:rsidRDefault="00CD45E7" w:rsidP="00A26A47">
            <w:pPr>
              <w:spacing w:before="80" w:after="80"/>
              <w:jc w:val="right"/>
              <w:rPr>
                <w:rFonts w:ascii="Times New Roman" w:hAnsi="Times New Roman" w:cs="Times New Roman"/>
              </w:rPr>
            </w:pPr>
          </w:p>
        </w:tc>
        <w:tc>
          <w:tcPr>
            <w:tcW w:w="7822" w:type="dxa"/>
            <w:vAlign w:val="center"/>
          </w:tcPr>
          <w:p w14:paraId="7974558A" w14:textId="61B9BD25" w:rsidR="00CD45E7" w:rsidRPr="002A1724" w:rsidRDefault="00CD45E7" w:rsidP="001821D1">
            <w:pPr>
              <w:pStyle w:val="Bullet2"/>
              <w:ind w:left="250" w:hanging="259"/>
            </w:pPr>
            <w:r>
              <w:t>.1</w:t>
            </w:r>
            <w:r w:rsidRPr="002A1724">
              <w:tab/>
              <w:t>To maintain insurance against fire and other risks, with loss payable to the lender, and subject to standard mortgage clause.</w:t>
            </w:r>
          </w:p>
        </w:tc>
        <w:tc>
          <w:tcPr>
            <w:tcW w:w="900" w:type="dxa"/>
            <w:vAlign w:val="center"/>
          </w:tcPr>
          <w:p w14:paraId="7F0299AC" w14:textId="77777777" w:rsidR="00CD45E7" w:rsidRPr="006C189C" w:rsidRDefault="00CD45E7" w:rsidP="00A26A47">
            <w:pPr>
              <w:pStyle w:val="Bullet1"/>
              <w:ind w:left="-104"/>
              <w:jc w:val="center"/>
            </w:pPr>
          </w:p>
        </w:tc>
      </w:tr>
      <w:tr w:rsidR="00CD45E7" w:rsidRPr="006C189C" w14:paraId="52A3BC10" w14:textId="77777777" w:rsidTr="00A26A47">
        <w:tc>
          <w:tcPr>
            <w:tcW w:w="633" w:type="dxa"/>
          </w:tcPr>
          <w:p w14:paraId="49C33B79" w14:textId="77777777" w:rsidR="00CD45E7" w:rsidRDefault="00CD45E7" w:rsidP="00A26A47">
            <w:pPr>
              <w:spacing w:before="80" w:after="80"/>
              <w:jc w:val="right"/>
              <w:rPr>
                <w:rFonts w:ascii="Times New Roman" w:hAnsi="Times New Roman" w:cs="Times New Roman"/>
              </w:rPr>
            </w:pPr>
          </w:p>
        </w:tc>
        <w:tc>
          <w:tcPr>
            <w:tcW w:w="7822" w:type="dxa"/>
            <w:vAlign w:val="center"/>
          </w:tcPr>
          <w:p w14:paraId="61CD6B78" w14:textId="0ACDDBDD" w:rsidR="00CD45E7" w:rsidRDefault="00CD45E7" w:rsidP="001821D1">
            <w:pPr>
              <w:pStyle w:val="Bullet2"/>
              <w:ind w:left="250" w:hanging="259"/>
            </w:pPr>
            <w:r>
              <w:t>.2</w:t>
            </w:r>
            <w:r w:rsidRPr="002A1724">
              <w:tab/>
              <w:t xml:space="preserve">To add lender as loss payee in </w:t>
            </w:r>
            <w:r>
              <w:t>priority</w:t>
            </w:r>
            <w:r w:rsidRPr="002A1724">
              <w:t xml:space="preserve"> of mortgage.</w:t>
            </w:r>
          </w:p>
        </w:tc>
        <w:tc>
          <w:tcPr>
            <w:tcW w:w="900" w:type="dxa"/>
            <w:vAlign w:val="center"/>
          </w:tcPr>
          <w:p w14:paraId="20A0C49F" w14:textId="77777777" w:rsidR="00CD45E7" w:rsidRPr="006C189C" w:rsidRDefault="00CD45E7" w:rsidP="00A26A47">
            <w:pPr>
              <w:pStyle w:val="Bullet1"/>
              <w:ind w:left="-104"/>
              <w:jc w:val="center"/>
            </w:pPr>
          </w:p>
        </w:tc>
      </w:tr>
      <w:tr w:rsidR="00CD45E7" w:rsidRPr="006C189C" w14:paraId="3A3A5329" w14:textId="77777777" w:rsidTr="00A26A47">
        <w:tc>
          <w:tcPr>
            <w:tcW w:w="633" w:type="dxa"/>
          </w:tcPr>
          <w:p w14:paraId="6D3A620F" w14:textId="77777777" w:rsidR="00CD45E7" w:rsidRDefault="00CD45E7" w:rsidP="00A26A47">
            <w:pPr>
              <w:spacing w:before="80" w:after="80"/>
              <w:jc w:val="right"/>
              <w:rPr>
                <w:rFonts w:ascii="Times New Roman" w:hAnsi="Times New Roman" w:cs="Times New Roman"/>
              </w:rPr>
            </w:pPr>
          </w:p>
        </w:tc>
        <w:tc>
          <w:tcPr>
            <w:tcW w:w="7822" w:type="dxa"/>
            <w:vAlign w:val="center"/>
          </w:tcPr>
          <w:p w14:paraId="73D0C2CC" w14:textId="198D68CF" w:rsidR="00CD45E7" w:rsidRDefault="00CD45E7" w:rsidP="001821D1">
            <w:pPr>
              <w:pStyle w:val="Bullet2"/>
              <w:ind w:left="250" w:hanging="259"/>
            </w:pPr>
            <w:r>
              <w:t>.3</w:t>
            </w:r>
            <w:r w:rsidRPr="002A1724">
              <w:tab/>
              <w:t>To deliver policies to the lender.</w:t>
            </w:r>
          </w:p>
        </w:tc>
        <w:tc>
          <w:tcPr>
            <w:tcW w:w="900" w:type="dxa"/>
            <w:vAlign w:val="center"/>
          </w:tcPr>
          <w:p w14:paraId="2ACDF4F0" w14:textId="77777777" w:rsidR="00CD45E7" w:rsidRPr="006C189C" w:rsidRDefault="00CD45E7" w:rsidP="00A26A47">
            <w:pPr>
              <w:pStyle w:val="Bullet1"/>
              <w:ind w:left="-104"/>
              <w:jc w:val="center"/>
            </w:pPr>
          </w:p>
        </w:tc>
      </w:tr>
      <w:tr w:rsidR="00CD45E7" w:rsidRPr="006C189C" w14:paraId="61C7074A" w14:textId="77777777" w:rsidTr="00A26A47">
        <w:tc>
          <w:tcPr>
            <w:tcW w:w="633" w:type="dxa"/>
          </w:tcPr>
          <w:p w14:paraId="1EDEB7A9" w14:textId="77777777" w:rsidR="00CD45E7" w:rsidRDefault="00CD45E7" w:rsidP="00A26A47">
            <w:pPr>
              <w:spacing w:before="80" w:after="80"/>
              <w:jc w:val="right"/>
              <w:rPr>
                <w:rFonts w:ascii="Times New Roman" w:hAnsi="Times New Roman" w:cs="Times New Roman"/>
              </w:rPr>
            </w:pPr>
          </w:p>
        </w:tc>
        <w:tc>
          <w:tcPr>
            <w:tcW w:w="7822" w:type="dxa"/>
            <w:vAlign w:val="center"/>
          </w:tcPr>
          <w:p w14:paraId="61389DBE" w14:textId="428F20BC" w:rsidR="00CD45E7" w:rsidRDefault="00CD45E7" w:rsidP="001821D1">
            <w:pPr>
              <w:pStyle w:val="Bullet2"/>
              <w:ind w:left="250" w:hanging="259"/>
            </w:pPr>
            <w:r>
              <w:t>.4</w:t>
            </w:r>
            <w:r w:rsidRPr="002A1724">
              <w:tab/>
              <w:t>To furnish proofs of loss to the lender, and to do all things necessary to enable the lender to obtain payment.</w:t>
            </w:r>
          </w:p>
        </w:tc>
        <w:tc>
          <w:tcPr>
            <w:tcW w:w="900" w:type="dxa"/>
            <w:vAlign w:val="center"/>
          </w:tcPr>
          <w:p w14:paraId="54086993" w14:textId="77777777" w:rsidR="00CD45E7" w:rsidRPr="006C189C" w:rsidRDefault="00CD45E7" w:rsidP="00A26A47">
            <w:pPr>
              <w:pStyle w:val="Bullet1"/>
              <w:ind w:left="-104"/>
              <w:jc w:val="center"/>
            </w:pPr>
          </w:p>
        </w:tc>
      </w:tr>
      <w:tr w:rsidR="00F2085D" w:rsidRPr="006C189C" w14:paraId="022825DB" w14:textId="77777777" w:rsidTr="00A26A47">
        <w:tc>
          <w:tcPr>
            <w:tcW w:w="633" w:type="dxa"/>
          </w:tcPr>
          <w:p w14:paraId="20BF2326" w14:textId="05492CA7" w:rsidR="00F2085D" w:rsidRDefault="00F2085D" w:rsidP="00A26A47">
            <w:pPr>
              <w:spacing w:before="80" w:after="80"/>
              <w:jc w:val="right"/>
              <w:rPr>
                <w:rFonts w:ascii="Times New Roman" w:hAnsi="Times New Roman" w:cs="Times New Roman"/>
              </w:rPr>
            </w:pPr>
            <w:r>
              <w:rPr>
                <w:rFonts w:ascii="Times New Roman" w:hAnsi="Times New Roman" w:cs="Times New Roman"/>
              </w:rPr>
              <w:t>8.11</w:t>
            </w:r>
          </w:p>
        </w:tc>
        <w:tc>
          <w:tcPr>
            <w:tcW w:w="7822" w:type="dxa"/>
            <w:vAlign w:val="center"/>
          </w:tcPr>
          <w:p w14:paraId="5FB42F29" w14:textId="79E15293" w:rsidR="00F2085D" w:rsidRDefault="00F2085D" w:rsidP="00F2085D">
            <w:pPr>
              <w:pStyle w:val="Bullet1"/>
            </w:pPr>
            <w:r w:rsidRPr="002A1724">
              <w:t>To pay real property taxes or to pay tax money to the lender.</w:t>
            </w:r>
          </w:p>
        </w:tc>
        <w:tc>
          <w:tcPr>
            <w:tcW w:w="900" w:type="dxa"/>
            <w:vAlign w:val="center"/>
          </w:tcPr>
          <w:p w14:paraId="1E82273E" w14:textId="4C76A830" w:rsidR="00F2085D" w:rsidRPr="006C189C" w:rsidRDefault="00F2085D" w:rsidP="00A26A47">
            <w:pPr>
              <w:pStyle w:val="Bullet1"/>
              <w:ind w:left="-104"/>
              <w:jc w:val="center"/>
            </w:pPr>
            <w:r w:rsidRPr="00437BB1">
              <w:rPr>
                <w:sz w:val="40"/>
                <w:szCs w:val="40"/>
              </w:rPr>
              <w:sym w:font="Wingdings 2" w:char="F0A3"/>
            </w:r>
          </w:p>
        </w:tc>
      </w:tr>
      <w:tr w:rsidR="00F2085D" w:rsidRPr="006C189C" w14:paraId="64A9A028" w14:textId="77777777" w:rsidTr="00A26A47">
        <w:tc>
          <w:tcPr>
            <w:tcW w:w="633" w:type="dxa"/>
          </w:tcPr>
          <w:p w14:paraId="1CFF4018" w14:textId="7C073AD3" w:rsidR="00F2085D" w:rsidRDefault="00F2085D" w:rsidP="00A26A47">
            <w:pPr>
              <w:spacing w:before="80" w:after="80"/>
              <w:jc w:val="right"/>
              <w:rPr>
                <w:rFonts w:ascii="Times New Roman" w:hAnsi="Times New Roman" w:cs="Times New Roman"/>
              </w:rPr>
            </w:pPr>
            <w:r>
              <w:rPr>
                <w:rFonts w:ascii="Times New Roman" w:hAnsi="Times New Roman" w:cs="Times New Roman"/>
              </w:rPr>
              <w:t>8.12</w:t>
            </w:r>
          </w:p>
        </w:tc>
        <w:tc>
          <w:tcPr>
            <w:tcW w:w="7822" w:type="dxa"/>
            <w:vAlign w:val="center"/>
          </w:tcPr>
          <w:p w14:paraId="074AA4DA" w14:textId="32A87F75" w:rsidR="00F2085D" w:rsidRDefault="00F2085D" w:rsidP="00F2085D">
            <w:pPr>
              <w:pStyle w:val="Bullet1"/>
            </w:pPr>
            <w:r w:rsidRPr="002A1724">
              <w:t>To grant collateral security to the lender on request.</w:t>
            </w:r>
          </w:p>
        </w:tc>
        <w:tc>
          <w:tcPr>
            <w:tcW w:w="900" w:type="dxa"/>
            <w:vAlign w:val="center"/>
          </w:tcPr>
          <w:p w14:paraId="55A2E149" w14:textId="1932EAEF" w:rsidR="00F2085D" w:rsidRPr="006C189C" w:rsidRDefault="00F2085D" w:rsidP="00A26A47">
            <w:pPr>
              <w:pStyle w:val="Bullet1"/>
              <w:ind w:left="-104"/>
              <w:jc w:val="center"/>
            </w:pPr>
            <w:r w:rsidRPr="00437BB1">
              <w:rPr>
                <w:sz w:val="40"/>
                <w:szCs w:val="40"/>
              </w:rPr>
              <w:sym w:font="Wingdings 2" w:char="F0A3"/>
            </w:r>
          </w:p>
        </w:tc>
      </w:tr>
      <w:tr w:rsidR="00F2085D" w:rsidRPr="006C189C" w14:paraId="63E2417F" w14:textId="77777777" w:rsidTr="00A26A47">
        <w:tc>
          <w:tcPr>
            <w:tcW w:w="633" w:type="dxa"/>
          </w:tcPr>
          <w:p w14:paraId="4FA84BF2" w14:textId="1341EA35" w:rsidR="00F2085D" w:rsidRDefault="00F2085D" w:rsidP="00A26A47">
            <w:pPr>
              <w:spacing w:before="80" w:after="80"/>
              <w:jc w:val="right"/>
              <w:rPr>
                <w:rFonts w:ascii="Times New Roman" w:hAnsi="Times New Roman" w:cs="Times New Roman"/>
              </w:rPr>
            </w:pPr>
            <w:r>
              <w:rPr>
                <w:rFonts w:ascii="Times New Roman" w:hAnsi="Times New Roman" w:cs="Times New Roman"/>
              </w:rPr>
              <w:t>8.13</w:t>
            </w:r>
          </w:p>
        </w:tc>
        <w:tc>
          <w:tcPr>
            <w:tcW w:w="7822" w:type="dxa"/>
            <w:vAlign w:val="center"/>
          </w:tcPr>
          <w:p w14:paraId="06765736" w14:textId="013357D7" w:rsidR="00F2085D" w:rsidRDefault="00F2085D" w:rsidP="00F2085D">
            <w:pPr>
              <w:pStyle w:val="Bullet1"/>
            </w:pPr>
            <w:r w:rsidRPr="002A1724">
              <w:t>To obey the law.</w:t>
            </w:r>
          </w:p>
        </w:tc>
        <w:tc>
          <w:tcPr>
            <w:tcW w:w="900" w:type="dxa"/>
            <w:vAlign w:val="center"/>
          </w:tcPr>
          <w:p w14:paraId="04FC735C" w14:textId="04B95075" w:rsidR="00F2085D" w:rsidRPr="006C189C" w:rsidRDefault="00F2085D" w:rsidP="00A26A47">
            <w:pPr>
              <w:pStyle w:val="Bullet1"/>
              <w:ind w:left="-104"/>
              <w:jc w:val="center"/>
            </w:pPr>
            <w:r w:rsidRPr="00437BB1">
              <w:rPr>
                <w:sz w:val="40"/>
                <w:szCs w:val="40"/>
              </w:rPr>
              <w:sym w:font="Wingdings 2" w:char="F0A3"/>
            </w:r>
          </w:p>
        </w:tc>
      </w:tr>
      <w:tr w:rsidR="00F2085D" w:rsidRPr="006C189C" w14:paraId="4C1EF341" w14:textId="77777777" w:rsidTr="00A26A47">
        <w:tc>
          <w:tcPr>
            <w:tcW w:w="633" w:type="dxa"/>
          </w:tcPr>
          <w:p w14:paraId="61073B88" w14:textId="32A9505E" w:rsidR="00F2085D" w:rsidRDefault="00F2085D" w:rsidP="00A26A47">
            <w:pPr>
              <w:spacing w:before="80" w:after="80"/>
              <w:jc w:val="right"/>
              <w:rPr>
                <w:rFonts w:ascii="Times New Roman" w:hAnsi="Times New Roman" w:cs="Times New Roman"/>
              </w:rPr>
            </w:pPr>
            <w:r>
              <w:rPr>
                <w:rFonts w:ascii="Times New Roman" w:hAnsi="Times New Roman" w:cs="Times New Roman"/>
              </w:rPr>
              <w:t>8.14</w:t>
            </w:r>
          </w:p>
        </w:tc>
        <w:tc>
          <w:tcPr>
            <w:tcW w:w="7822" w:type="dxa"/>
            <w:vAlign w:val="center"/>
          </w:tcPr>
          <w:p w14:paraId="6D83C5D1" w14:textId="658CFDA0" w:rsidR="00F2085D" w:rsidRDefault="00F2085D" w:rsidP="00F2085D">
            <w:pPr>
              <w:pStyle w:val="Bullet1"/>
            </w:pPr>
            <w:r w:rsidRPr="002A1724">
              <w:t>To permit entry and inspection by the lender.</w:t>
            </w:r>
          </w:p>
        </w:tc>
        <w:tc>
          <w:tcPr>
            <w:tcW w:w="900" w:type="dxa"/>
            <w:vAlign w:val="center"/>
          </w:tcPr>
          <w:p w14:paraId="7348D4F7" w14:textId="2D0F1BFE" w:rsidR="00F2085D" w:rsidRPr="006C189C" w:rsidRDefault="00F2085D" w:rsidP="00A26A47">
            <w:pPr>
              <w:pStyle w:val="Bullet1"/>
              <w:ind w:left="-104"/>
              <w:jc w:val="center"/>
            </w:pPr>
            <w:r w:rsidRPr="00437BB1">
              <w:rPr>
                <w:sz w:val="40"/>
                <w:szCs w:val="40"/>
              </w:rPr>
              <w:sym w:font="Wingdings 2" w:char="F0A3"/>
            </w:r>
          </w:p>
        </w:tc>
      </w:tr>
      <w:tr w:rsidR="00F2085D" w:rsidRPr="006C189C" w14:paraId="789FC642" w14:textId="77777777" w:rsidTr="00A26A47">
        <w:tc>
          <w:tcPr>
            <w:tcW w:w="633" w:type="dxa"/>
          </w:tcPr>
          <w:p w14:paraId="7D1F102D" w14:textId="228CFCD1" w:rsidR="00F2085D" w:rsidRDefault="00F2085D" w:rsidP="00A26A47">
            <w:pPr>
              <w:spacing w:before="80" w:after="80"/>
              <w:jc w:val="right"/>
              <w:rPr>
                <w:rFonts w:ascii="Times New Roman" w:hAnsi="Times New Roman" w:cs="Times New Roman"/>
              </w:rPr>
            </w:pPr>
            <w:r>
              <w:rPr>
                <w:rFonts w:ascii="Times New Roman" w:hAnsi="Times New Roman" w:cs="Times New Roman"/>
              </w:rPr>
              <w:t>8.15</w:t>
            </w:r>
          </w:p>
        </w:tc>
        <w:tc>
          <w:tcPr>
            <w:tcW w:w="7822" w:type="dxa"/>
            <w:vAlign w:val="center"/>
          </w:tcPr>
          <w:p w14:paraId="2BBC8676" w14:textId="2BEA50DD" w:rsidR="00F2085D" w:rsidRDefault="00F2085D" w:rsidP="00F2085D">
            <w:pPr>
              <w:pStyle w:val="Bullet1"/>
            </w:pPr>
            <w:r w:rsidRPr="002A1724">
              <w:t>To furnish specified information to the lender.</w:t>
            </w:r>
          </w:p>
        </w:tc>
        <w:tc>
          <w:tcPr>
            <w:tcW w:w="900" w:type="dxa"/>
            <w:vAlign w:val="center"/>
          </w:tcPr>
          <w:p w14:paraId="7A7F16EF" w14:textId="05C7B304" w:rsidR="00F2085D" w:rsidRPr="006C189C" w:rsidRDefault="00F2085D" w:rsidP="00A26A47">
            <w:pPr>
              <w:pStyle w:val="Bullet1"/>
              <w:ind w:left="-104"/>
              <w:jc w:val="center"/>
            </w:pPr>
            <w:r w:rsidRPr="00437BB1">
              <w:rPr>
                <w:sz w:val="40"/>
                <w:szCs w:val="40"/>
              </w:rPr>
              <w:sym w:font="Wingdings 2" w:char="F0A3"/>
            </w:r>
          </w:p>
        </w:tc>
      </w:tr>
      <w:tr w:rsidR="00F2085D" w:rsidRPr="006C189C" w14:paraId="22D50D32" w14:textId="77777777" w:rsidTr="00A26A47">
        <w:tc>
          <w:tcPr>
            <w:tcW w:w="633" w:type="dxa"/>
          </w:tcPr>
          <w:p w14:paraId="60D4C089" w14:textId="2DB35470" w:rsidR="00F2085D" w:rsidRDefault="00F2085D" w:rsidP="00A26A47">
            <w:pPr>
              <w:spacing w:before="80" w:after="80"/>
              <w:jc w:val="right"/>
              <w:rPr>
                <w:rFonts w:ascii="Times New Roman" w:hAnsi="Times New Roman" w:cs="Times New Roman"/>
              </w:rPr>
            </w:pPr>
            <w:r>
              <w:rPr>
                <w:rFonts w:ascii="Times New Roman" w:hAnsi="Times New Roman" w:cs="Times New Roman"/>
              </w:rPr>
              <w:t>8.16</w:t>
            </w:r>
          </w:p>
        </w:tc>
        <w:tc>
          <w:tcPr>
            <w:tcW w:w="7822" w:type="dxa"/>
            <w:vAlign w:val="center"/>
          </w:tcPr>
          <w:p w14:paraId="5CEB2D5F" w14:textId="1F586C70" w:rsidR="00F2085D" w:rsidRDefault="00F2085D" w:rsidP="00F2085D">
            <w:pPr>
              <w:pStyle w:val="Bullet1"/>
            </w:pPr>
            <w:r w:rsidRPr="002A1724">
              <w:t>Further assurances.</w:t>
            </w:r>
          </w:p>
        </w:tc>
        <w:tc>
          <w:tcPr>
            <w:tcW w:w="900" w:type="dxa"/>
            <w:vAlign w:val="center"/>
          </w:tcPr>
          <w:p w14:paraId="45387B0A" w14:textId="1ACDB6AD" w:rsidR="00F2085D" w:rsidRPr="006C189C" w:rsidRDefault="00F2085D" w:rsidP="00A26A47">
            <w:pPr>
              <w:pStyle w:val="Bullet1"/>
              <w:ind w:left="-104"/>
              <w:jc w:val="center"/>
            </w:pPr>
            <w:r w:rsidRPr="00437BB1">
              <w:rPr>
                <w:sz w:val="40"/>
                <w:szCs w:val="40"/>
              </w:rPr>
              <w:sym w:font="Wingdings 2" w:char="F0A3"/>
            </w:r>
          </w:p>
        </w:tc>
      </w:tr>
      <w:tr w:rsidR="00F2085D" w:rsidRPr="006C189C" w14:paraId="0962C47E" w14:textId="77777777" w:rsidTr="00A26A47">
        <w:tc>
          <w:tcPr>
            <w:tcW w:w="633" w:type="dxa"/>
          </w:tcPr>
          <w:p w14:paraId="0BDDE8BC" w14:textId="0C2220CB" w:rsidR="00F2085D" w:rsidRDefault="00F2085D" w:rsidP="00A26A47">
            <w:pPr>
              <w:spacing w:before="80" w:after="80"/>
              <w:jc w:val="right"/>
              <w:rPr>
                <w:rFonts w:ascii="Times New Roman" w:hAnsi="Times New Roman" w:cs="Times New Roman"/>
              </w:rPr>
            </w:pPr>
            <w:r>
              <w:rPr>
                <w:rFonts w:ascii="Times New Roman" w:hAnsi="Times New Roman" w:cs="Times New Roman"/>
              </w:rPr>
              <w:t>8.17</w:t>
            </w:r>
          </w:p>
        </w:tc>
        <w:tc>
          <w:tcPr>
            <w:tcW w:w="7822" w:type="dxa"/>
            <w:vAlign w:val="center"/>
          </w:tcPr>
          <w:p w14:paraId="5B362021" w14:textId="252396A7" w:rsidR="00F2085D" w:rsidRDefault="00F2085D" w:rsidP="00F2085D">
            <w:pPr>
              <w:pStyle w:val="Bullet1"/>
            </w:pPr>
            <w:r w:rsidRPr="002A1724">
              <w:t>To pay all sums due on any prior encumbrances and keep in good standing.</w:t>
            </w:r>
          </w:p>
        </w:tc>
        <w:tc>
          <w:tcPr>
            <w:tcW w:w="900" w:type="dxa"/>
            <w:vAlign w:val="center"/>
          </w:tcPr>
          <w:p w14:paraId="467B75CB" w14:textId="57972CB6" w:rsidR="00F2085D" w:rsidRPr="006C189C" w:rsidRDefault="00F2085D" w:rsidP="00A26A47">
            <w:pPr>
              <w:pStyle w:val="Bullet1"/>
              <w:ind w:left="-104"/>
              <w:jc w:val="center"/>
            </w:pPr>
            <w:r w:rsidRPr="00437BB1">
              <w:rPr>
                <w:sz w:val="40"/>
                <w:szCs w:val="40"/>
              </w:rPr>
              <w:sym w:font="Wingdings 2" w:char="F0A3"/>
            </w:r>
          </w:p>
        </w:tc>
      </w:tr>
    </w:tbl>
    <w:p w14:paraId="303825DD"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00779" w:rsidRPr="006C189C" w14:paraId="573091E6" w14:textId="77777777" w:rsidTr="00A26A47">
        <w:tc>
          <w:tcPr>
            <w:tcW w:w="633" w:type="dxa"/>
            <w:shd w:val="clear" w:color="auto" w:fill="D9E2F3" w:themeFill="accent1" w:themeFillTint="33"/>
          </w:tcPr>
          <w:p w14:paraId="75116CB8" w14:textId="1DB1A3C7" w:rsidR="00D00779" w:rsidRPr="0024237C" w:rsidRDefault="00F2085D" w:rsidP="00A26A47">
            <w:pPr>
              <w:spacing w:before="80" w:after="80"/>
              <w:jc w:val="right"/>
              <w:rPr>
                <w:rFonts w:ascii="Times New Roman" w:hAnsi="Times New Roman" w:cs="Times New Roman"/>
                <w:b/>
              </w:rPr>
            </w:pPr>
            <w:r>
              <w:rPr>
                <w:rFonts w:ascii="Times New Roman" w:hAnsi="Times New Roman" w:cs="Times New Roman"/>
                <w:b/>
              </w:rPr>
              <w:t>9</w:t>
            </w:r>
            <w:r w:rsidR="00D00779">
              <w:rPr>
                <w:rFonts w:ascii="Times New Roman" w:hAnsi="Times New Roman" w:cs="Times New Roman"/>
                <w:b/>
              </w:rPr>
              <w:t>.</w:t>
            </w:r>
          </w:p>
        </w:tc>
        <w:tc>
          <w:tcPr>
            <w:tcW w:w="8722" w:type="dxa"/>
            <w:gridSpan w:val="2"/>
            <w:shd w:val="clear" w:color="auto" w:fill="D9E2F3" w:themeFill="accent1" w:themeFillTint="33"/>
            <w:vAlign w:val="center"/>
          </w:tcPr>
          <w:p w14:paraId="3884BC17" w14:textId="4D599D33" w:rsidR="00D00779" w:rsidRPr="006C189C" w:rsidRDefault="00F2085D" w:rsidP="00A26A47">
            <w:pPr>
              <w:pStyle w:val="Heading1"/>
              <w:spacing w:before="80" w:after="80"/>
              <w:outlineLvl w:val="0"/>
            </w:pPr>
            <w:r w:rsidRPr="002A1724">
              <w:t>LENDER’S COVENANTS</w:t>
            </w:r>
          </w:p>
        </w:tc>
      </w:tr>
      <w:tr w:rsidR="00D00779" w:rsidRPr="006C189C" w14:paraId="7EB8E264" w14:textId="77777777" w:rsidTr="00A26A47">
        <w:tc>
          <w:tcPr>
            <w:tcW w:w="633" w:type="dxa"/>
          </w:tcPr>
          <w:p w14:paraId="7D5A12B2" w14:textId="0D2605FD" w:rsidR="00D00779" w:rsidRPr="006C189C" w:rsidRDefault="00F2085D" w:rsidP="00A26A47">
            <w:pPr>
              <w:spacing w:before="80" w:after="80"/>
              <w:jc w:val="right"/>
              <w:rPr>
                <w:rFonts w:ascii="Times New Roman" w:hAnsi="Times New Roman" w:cs="Times New Roman"/>
              </w:rPr>
            </w:pPr>
            <w:r>
              <w:rPr>
                <w:rFonts w:ascii="Times New Roman" w:hAnsi="Times New Roman" w:cs="Times New Roman"/>
              </w:rPr>
              <w:t>9</w:t>
            </w:r>
            <w:r w:rsidR="00D00779">
              <w:rPr>
                <w:rFonts w:ascii="Times New Roman" w:hAnsi="Times New Roman" w:cs="Times New Roman"/>
              </w:rPr>
              <w:t>.1</w:t>
            </w:r>
          </w:p>
        </w:tc>
        <w:tc>
          <w:tcPr>
            <w:tcW w:w="7822" w:type="dxa"/>
            <w:vAlign w:val="center"/>
          </w:tcPr>
          <w:p w14:paraId="038C3752" w14:textId="5451427D" w:rsidR="00D00779" w:rsidRPr="006C189C" w:rsidRDefault="00F2085D" w:rsidP="00A26A47">
            <w:pPr>
              <w:pStyle w:val="Bullet1"/>
            </w:pPr>
            <w:r w:rsidRPr="002A1724">
              <w:t>Borrower to have quiet possession until default.</w:t>
            </w:r>
          </w:p>
        </w:tc>
        <w:tc>
          <w:tcPr>
            <w:tcW w:w="900" w:type="dxa"/>
            <w:vAlign w:val="center"/>
          </w:tcPr>
          <w:p w14:paraId="3532F39F"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7397F1A5" w14:textId="77777777" w:rsidTr="00264A6D">
        <w:trPr>
          <w:trHeight w:val="53"/>
        </w:trPr>
        <w:tc>
          <w:tcPr>
            <w:tcW w:w="633" w:type="dxa"/>
          </w:tcPr>
          <w:p w14:paraId="15D2090C" w14:textId="22965843" w:rsidR="00D00779" w:rsidRDefault="00F2085D" w:rsidP="00A26A47">
            <w:pPr>
              <w:spacing w:before="80" w:after="80"/>
              <w:jc w:val="right"/>
              <w:rPr>
                <w:rFonts w:ascii="Times New Roman" w:hAnsi="Times New Roman" w:cs="Times New Roman"/>
              </w:rPr>
            </w:pPr>
            <w:r>
              <w:rPr>
                <w:rFonts w:ascii="Times New Roman" w:hAnsi="Times New Roman" w:cs="Times New Roman"/>
              </w:rPr>
              <w:lastRenderedPageBreak/>
              <w:t>9</w:t>
            </w:r>
            <w:r w:rsidR="00D00779">
              <w:rPr>
                <w:rFonts w:ascii="Times New Roman" w:hAnsi="Times New Roman" w:cs="Times New Roman"/>
              </w:rPr>
              <w:t>.2</w:t>
            </w:r>
          </w:p>
        </w:tc>
        <w:tc>
          <w:tcPr>
            <w:tcW w:w="7822" w:type="dxa"/>
            <w:vAlign w:val="center"/>
          </w:tcPr>
          <w:p w14:paraId="35B1C86F" w14:textId="51E1A04F" w:rsidR="00D00779" w:rsidRPr="002A1724" w:rsidRDefault="00F2085D" w:rsidP="00A26A47">
            <w:pPr>
              <w:pStyle w:val="Bullet1"/>
            </w:pPr>
            <w:r w:rsidRPr="002A1724">
              <w:t>To apply payments made on account of taxes in payment of taxes when due, as long as the borrower is not in default.</w:t>
            </w:r>
          </w:p>
        </w:tc>
        <w:tc>
          <w:tcPr>
            <w:tcW w:w="900" w:type="dxa"/>
            <w:vAlign w:val="center"/>
          </w:tcPr>
          <w:p w14:paraId="00631136" w14:textId="62E1C94A" w:rsidR="00D00779" w:rsidRPr="006C189C" w:rsidRDefault="00F2085D" w:rsidP="00A26A47">
            <w:pPr>
              <w:pStyle w:val="Bullet1"/>
              <w:ind w:left="-104"/>
              <w:jc w:val="center"/>
            </w:pPr>
            <w:r w:rsidRPr="00437BB1">
              <w:rPr>
                <w:sz w:val="40"/>
                <w:szCs w:val="40"/>
              </w:rPr>
              <w:sym w:font="Wingdings 2" w:char="F0A3"/>
            </w:r>
          </w:p>
        </w:tc>
      </w:tr>
      <w:tr w:rsidR="00F2085D" w:rsidRPr="006C189C" w14:paraId="3D363025" w14:textId="77777777" w:rsidTr="00264A6D">
        <w:trPr>
          <w:trHeight w:val="3725"/>
        </w:trPr>
        <w:tc>
          <w:tcPr>
            <w:tcW w:w="633" w:type="dxa"/>
          </w:tcPr>
          <w:p w14:paraId="2EBCD812" w14:textId="04E1BE7B" w:rsidR="00F2085D" w:rsidRDefault="00F2085D" w:rsidP="00A26A47">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4800FC3B" w14:textId="77777777" w:rsidR="00F2085D" w:rsidRPr="00FA6391" w:rsidRDefault="00F2085D" w:rsidP="00A26A47">
            <w:pPr>
              <w:pStyle w:val="Bullet1"/>
            </w:pPr>
            <w:r w:rsidRPr="00FA6391">
              <w:t>To provide a discharge; borrower to pay costs.</w:t>
            </w:r>
          </w:p>
          <w:p w14:paraId="1DBA044E" w14:textId="4826D0EF" w:rsidR="00264A6D" w:rsidRPr="00FA6391" w:rsidRDefault="00F2085D" w:rsidP="005762AB">
            <w:pPr>
              <w:jc w:val="both"/>
              <w:rPr>
                <w:rFonts w:ascii="Times New Roman" w:hAnsi="Times New Roman" w:cs="Times New Roman"/>
              </w:rPr>
            </w:pPr>
            <w:r w:rsidRPr="00FA6391">
              <w:rPr>
                <w:rFonts w:ascii="Times New Roman" w:hAnsi="Times New Roman" w:cs="Times New Roman"/>
                <w:spacing w:val="-4"/>
              </w:rPr>
              <w:t xml:space="preserve">Note that s. 72(3) of the </w:t>
            </w:r>
            <w:r w:rsidRPr="00FA6391">
              <w:rPr>
                <w:rFonts w:ascii="Times New Roman" w:hAnsi="Times New Roman" w:cs="Times New Roman"/>
                <w:i/>
                <w:spacing w:val="-4"/>
              </w:rPr>
              <w:t>BPCPA</w:t>
            </w:r>
            <w:r w:rsidRPr="00FA6391">
              <w:rPr>
                <w:rFonts w:ascii="Times New Roman" w:hAnsi="Times New Roman" w:cs="Times New Roman"/>
                <w:spacing w:val="-4"/>
              </w:rPr>
              <w:t xml:space="preserve"> stipulates that a credit grantor/lender must not accept any </w:t>
            </w:r>
            <w:r w:rsidRPr="00C81C93">
              <w:rPr>
                <w:rFonts w:ascii="Times New Roman" w:hAnsi="Times New Roman" w:cs="Times New Roman"/>
                <w:spacing w:val="-4"/>
              </w:rPr>
              <w:t xml:space="preserve">amount for the provision of a mortgage discharge to a borrower that exceeds the maximum amount prescribed, which is currently $75 (Disclosure of the Cost of Consumer Credit Regulation, B.C. Reg. 273/2004, s. 16). The B.C. Financial Institutions Commission’s interpretation of s. 72 of </w:t>
            </w:r>
            <w:r w:rsidRPr="00C81C93">
              <w:rPr>
                <w:rFonts w:ascii="Times New Roman" w:hAnsi="Times New Roman" w:cs="Times New Roman"/>
              </w:rPr>
              <w:t xml:space="preserve">the </w:t>
            </w:r>
            <w:r w:rsidRPr="00C81C93">
              <w:rPr>
                <w:rFonts w:ascii="Times New Roman" w:hAnsi="Times New Roman" w:cs="Times New Roman"/>
                <w:i/>
              </w:rPr>
              <w:t>BPCPA</w:t>
            </w:r>
            <w:r w:rsidRPr="00C81C93">
              <w:rPr>
                <w:rFonts w:ascii="Times New Roman" w:hAnsi="Times New Roman" w:cs="Times New Roman"/>
              </w:rPr>
              <w:t xml:space="preserve"> is that other costs can be charged over and above the $75 discharge fee so long as they are itemized (</w:t>
            </w:r>
            <w:hyperlink r:id="rId21" w:history="1">
              <w:r w:rsidRPr="00C81C93">
                <w:rPr>
                  <w:rStyle w:val="Hyperlink"/>
                  <w:rFonts w:ascii="Times New Roman" w:hAnsi="Times New Roman" w:cs="Times New Roman"/>
                </w:rPr>
                <w:t>Information Bulletin MB 07-003 (January 31, 2007)</w:t>
              </w:r>
            </w:hyperlink>
            <w:r w:rsidRPr="00C81C93">
              <w:rPr>
                <w:rFonts w:ascii="Times New Roman" w:hAnsi="Times New Roman" w:cs="Times New Roman"/>
              </w:rPr>
              <w:t xml:space="preserve">). It is common practice for private lenders to add the legal </w:t>
            </w:r>
            <w:r w:rsidRPr="00AB07A3">
              <w:rPr>
                <w:rFonts w:ascii="Times New Roman" w:hAnsi="Times New Roman" w:cs="Times New Roman"/>
              </w:rPr>
              <w:t xml:space="preserve">costs they incur for the preparation and execution of the discharge. Separate charges for preparation of the payout statement are unusual because they are usually prepared in-house; arguably, if a lender requires the services of an accountant or other professional </w:t>
            </w:r>
            <w:r w:rsidR="00AB07A3" w:rsidRPr="00AB07A3">
              <w:rPr>
                <w:rFonts w:ascii="Times New Roman" w:hAnsi="Times New Roman" w:cs="Times New Roman"/>
              </w:rPr>
              <w:t>to prepare the payout statement, this cost could be added. The lawyer should advise the borrower to review the payout statement to confirm whether the additional costs are legitimate costs incurred by the lender to provide the discharge.</w:t>
            </w:r>
          </w:p>
        </w:tc>
        <w:tc>
          <w:tcPr>
            <w:tcW w:w="900" w:type="dxa"/>
            <w:vAlign w:val="center"/>
          </w:tcPr>
          <w:p w14:paraId="0443EF0B" w14:textId="79C6DB30" w:rsidR="00F2085D" w:rsidRPr="006C189C" w:rsidRDefault="00F2085D" w:rsidP="00A26A47">
            <w:pPr>
              <w:pStyle w:val="Bullet1"/>
              <w:ind w:left="-104"/>
              <w:jc w:val="center"/>
            </w:pPr>
            <w:r w:rsidRPr="00437BB1">
              <w:rPr>
                <w:sz w:val="40"/>
                <w:szCs w:val="40"/>
              </w:rPr>
              <w:sym w:font="Wingdings 2" w:char="F0A3"/>
            </w:r>
          </w:p>
        </w:tc>
      </w:tr>
    </w:tbl>
    <w:p w14:paraId="7BB3F7A9"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D00779" w:rsidRPr="006C189C" w14:paraId="6F07651B" w14:textId="77777777" w:rsidTr="00A26A47">
        <w:tc>
          <w:tcPr>
            <w:tcW w:w="633" w:type="dxa"/>
            <w:shd w:val="clear" w:color="auto" w:fill="D9E2F3" w:themeFill="accent1" w:themeFillTint="33"/>
          </w:tcPr>
          <w:p w14:paraId="42311484" w14:textId="51726BAA" w:rsidR="00D00779" w:rsidRPr="0024237C" w:rsidRDefault="00F2085D" w:rsidP="00A26A47">
            <w:pPr>
              <w:spacing w:before="80" w:after="80"/>
              <w:jc w:val="right"/>
              <w:rPr>
                <w:rFonts w:ascii="Times New Roman" w:hAnsi="Times New Roman" w:cs="Times New Roman"/>
                <w:b/>
              </w:rPr>
            </w:pPr>
            <w:r>
              <w:rPr>
                <w:rFonts w:ascii="Times New Roman" w:hAnsi="Times New Roman" w:cs="Times New Roman"/>
                <w:b/>
              </w:rPr>
              <w:t>10</w:t>
            </w:r>
            <w:r w:rsidR="00D00779">
              <w:rPr>
                <w:rFonts w:ascii="Times New Roman" w:hAnsi="Times New Roman" w:cs="Times New Roman"/>
                <w:b/>
              </w:rPr>
              <w:t>.</w:t>
            </w:r>
          </w:p>
        </w:tc>
        <w:tc>
          <w:tcPr>
            <w:tcW w:w="8722" w:type="dxa"/>
            <w:gridSpan w:val="2"/>
            <w:shd w:val="clear" w:color="auto" w:fill="D9E2F3" w:themeFill="accent1" w:themeFillTint="33"/>
            <w:vAlign w:val="center"/>
          </w:tcPr>
          <w:p w14:paraId="6FECEB2F" w14:textId="2583AC2E" w:rsidR="00D00779" w:rsidRPr="006C189C" w:rsidRDefault="00F2085D" w:rsidP="00A26A47">
            <w:pPr>
              <w:pStyle w:val="Heading1"/>
              <w:spacing w:before="80" w:after="80"/>
              <w:outlineLvl w:val="0"/>
            </w:pPr>
            <w:r>
              <w:t>DEFAULT</w:t>
            </w:r>
          </w:p>
        </w:tc>
      </w:tr>
      <w:tr w:rsidR="00D00779" w:rsidRPr="006C189C" w14:paraId="0109A1A7" w14:textId="77777777" w:rsidTr="00A26A47">
        <w:tc>
          <w:tcPr>
            <w:tcW w:w="633" w:type="dxa"/>
          </w:tcPr>
          <w:p w14:paraId="09BEA08B" w14:textId="5D4FECA4" w:rsidR="00D00779" w:rsidRPr="006C189C" w:rsidRDefault="00F2085D" w:rsidP="00A26A47">
            <w:pPr>
              <w:spacing w:before="80" w:after="80"/>
              <w:jc w:val="right"/>
              <w:rPr>
                <w:rFonts w:ascii="Times New Roman" w:hAnsi="Times New Roman" w:cs="Times New Roman"/>
              </w:rPr>
            </w:pPr>
            <w:r>
              <w:rPr>
                <w:rFonts w:ascii="Times New Roman" w:hAnsi="Times New Roman" w:cs="Times New Roman"/>
              </w:rPr>
              <w:t>10</w:t>
            </w:r>
            <w:r w:rsidR="00D00779">
              <w:rPr>
                <w:rFonts w:ascii="Times New Roman" w:hAnsi="Times New Roman" w:cs="Times New Roman"/>
              </w:rPr>
              <w:t>.1</w:t>
            </w:r>
          </w:p>
        </w:tc>
        <w:tc>
          <w:tcPr>
            <w:tcW w:w="7822" w:type="dxa"/>
            <w:vAlign w:val="center"/>
          </w:tcPr>
          <w:p w14:paraId="71219EFA" w14:textId="2B0AD1C5" w:rsidR="00D00779" w:rsidRPr="006C189C" w:rsidRDefault="00F2085D" w:rsidP="00A26A47">
            <w:pPr>
              <w:pStyle w:val="Bullet1"/>
            </w:pPr>
            <w:r w:rsidRPr="002A1724">
              <w:t>Effect (e.g., acceleration at the option of the lender).</w:t>
            </w:r>
          </w:p>
        </w:tc>
        <w:tc>
          <w:tcPr>
            <w:tcW w:w="900" w:type="dxa"/>
            <w:vAlign w:val="center"/>
          </w:tcPr>
          <w:p w14:paraId="31DCDCA6"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1E3327FB" w14:textId="77777777" w:rsidTr="00A26A47">
        <w:tc>
          <w:tcPr>
            <w:tcW w:w="633" w:type="dxa"/>
          </w:tcPr>
          <w:p w14:paraId="698B32DF" w14:textId="5853A93A" w:rsidR="00D00779" w:rsidRDefault="00F2085D" w:rsidP="00A26A47">
            <w:pPr>
              <w:spacing w:before="80" w:after="80"/>
              <w:jc w:val="right"/>
              <w:rPr>
                <w:rFonts w:ascii="Times New Roman" w:hAnsi="Times New Roman" w:cs="Times New Roman"/>
              </w:rPr>
            </w:pPr>
            <w:r>
              <w:rPr>
                <w:rFonts w:ascii="Times New Roman" w:hAnsi="Times New Roman" w:cs="Times New Roman"/>
              </w:rPr>
              <w:t>10</w:t>
            </w:r>
            <w:r w:rsidR="00D00779">
              <w:rPr>
                <w:rFonts w:ascii="Times New Roman" w:hAnsi="Times New Roman" w:cs="Times New Roman"/>
              </w:rPr>
              <w:t>.2</w:t>
            </w:r>
          </w:p>
        </w:tc>
        <w:tc>
          <w:tcPr>
            <w:tcW w:w="7822" w:type="dxa"/>
            <w:vAlign w:val="center"/>
          </w:tcPr>
          <w:p w14:paraId="1C2B7F7D" w14:textId="47CDBE90" w:rsidR="00D00779" w:rsidRPr="002A1724" w:rsidRDefault="00F2085D" w:rsidP="00A26A47">
            <w:pPr>
              <w:pStyle w:val="Bullet1"/>
            </w:pPr>
            <w:r w:rsidRPr="002A1724">
              <w:t>Events of default:</w:t>
            </w:r>
          </w:p>
        </w:tc>
        <w:tc>
          <w:tcPr>
            <w:tcW w:w="900" w:type="dxa"/>
            <w:vAlign w:val="center"/>
          </w:tcPr>
          <w:p w14:paraId="4BC6A19F" w14:textId="70FEB0D2" w:rsidR="00D00779" w:rsidRPr="006C189C" w:rsidRDefault="00F2085D" w:rsidP="00A26A47">
            <w:pPr>
              <w:pStyle w:val="Bullet1"/>
              <w:ind w:left="-104"/>
              <w:jc w:val="center"/>
            </w:pPr>
            <w:r w:rsidRPr="00437BB1">
              <w:rPr>
                <w:sz w:val="40"/>
                <w:szCs w:val="40"/>
              </w:rPr>
              <w:sym w:font="Wingdings 2" w:char="F0A3"/>
            </w:r>
          </w:p>
        </w:tc>
      </w:tr>
      <w:tr w:rsidR="00F2085D" w:rsidRPr="006C189C" w14:paraId="467AD308" w14:textId="77777777" w:rsidTr="00A26A47">
        <w:tc>
          <w:tcPr>
            <w:tcW w:w="633" w:type="dxa"/>
          </w:tcPr>
          <w:p w14:paraId="1C999EDC" w14:textId="77777777" w:rsidR="00F2085D" w:rsidRDefault="00F2085D" w:rsidP="00A26A47">
            <w:pPr>
              <w:spacing w:before="80" w:after="80"/>
              <w:jc w:val="right"/>
              <w:rPr>
                <w:rFonts w:ascii="Times New Roman" w:hAnsi="Times New Roman" w:cs="Times New Roman"/>
              </w:rPr>
            </w:pPr>
          </w:p>
        </w:tc>
        <w:tc>
          <w:tcPr>
            <w:tcW w:w="7822" w:type="dxa"/>
            <w:vAlign w:val="center"/>
          </w:tcPr>
          <w:p w14:paraId="4C70227B" w14:textId="6B6050E1" w:rsidR="00F2085D" w:rsidRPr="002A1724" w:rsidRDefault="00F2085D" w:rsidP="001821D1">
            <w:pPr>
              <w:pStyle w:val="Bullet2"/>
              <w:ind w:left="340" w:hanging="340"/>
            </w:pPr>
            <w:r>
              <w:t>.1</w:t>
            </w:r>
            <w:r w:rsidRPr="002A1724">
              <w:tab/>
              <w:t>Non-payment of the principal or interest when it becomes due and payable.</w:t>
            </w:r>
          </w:p>
        </w:tc>
        <w:tc>
          <w:tcPr>
            <w:tcW w:w="900" w:type="dxa"/>
            <w:vAlign w:val="center"/>
          </w:tcPr>
          <w:p w14:paraId="04E7AA3F" w14:textId="77777777" w:rsidR="00F2085D" w:rsidRPr="006C189C" w:rsidRDefault="00F2085D" w:rsidP="00A26A47">
            <w:pPr>
              <w:pStyle w:val="Bullet1"/>
              <w:ind w:left="-104"/>
              <w:jc w:val="center"/>
            </w:pPr>
          </w:p>
        </w:tc>
      </w:tr>
      <w:tr w:rsidR="00F2085D" w:rsidRPr="006C189C" w14:paraId="26934749" w14:textId="77777777" w:rsidTr="00A26A47">
        <w:tc>
          <w:tcPr>
            <w:tcW w:w="633" w:type="dxa"/>
          </w:tcPr>
          <w:p w14:paraId="67759735" w14:textId="77777777" w:rsidR="00F2085D" w:rsidRDefault="00F2085D" w:rsidP="00A26A47">
            <w:pPr>
              <w:spacing w:before="80" w:after="80"/>
              <w:jc w:val="right"/>
              <w:rPr>
                <w:rFonts w:ascii="Times New Roman" w:hAnsi="Times New Roman" w:cs="Times New Roman"/>
              </w:rPr>
            </w:pPr>
          </w:p>
        </w:tc>
        <w:tc>
          <w:tcPr>
            <w:tcW w:w="7822" w:type="dxa"/>
            <w:vAlign w:val="center"/>
          </w:tcPr>
          <w:p w14:paraId="2536AFFC" w14:textId="1E355A5B" w:rsidR="00F2085D" w:rsidRDefault="00F2085D" w:rsidP="001821D1">
            <w:pPr>
              <w:pStyle w:val="Bullet2"/>
              <w:ind w:left="340" w:hanging="340"/>
            </w:pPr>
            <w:r>
              <w:t>.2</w:t>
            </w:r>
            <w:r w:rsidRPr="002A1724">
              <w:tab/>
              <w:t>Breach of a provision of the mortgage.</w:t>
            </w:r>
          </w:p>
        </w:tc>
        <w:tc>
          <w:tcPr>
            <w:tcW w:w="900" w:type="dxa"/>
            <w:vAlign w:val="center"/>
          </w:tcPr>
          <w:p w14:paraId="3E0A2752" w14:textId="77777777" w:rsidR="00F2085D" w:rsidRPr="006C189C" w:rsidRDefault="00F2085D" w:rsidP="00A26A47">
            <w:pPr>
              <w:pStyle w:val="Bullet1"/>
              <w:ind w:left="-104"/>
              <w:jc w:val="center"/>
            </w:pPr>
          </w:p>
        </w:tc>
      </w:tr>
      <w:tr w:rsidR="00F2085D" w:rsidRPr="006C189C" w14:paraId="06A1B92B" w14:textId="77777777" w:rsidTr="00A26A47">
        <w:tc>
          <w:tcPr>
            <w:tcW w:w="633" w:type="dxa"/>
          </w:tcPr>
          <w:p w14:paraId="777212B3" w14:textId="77777777" w:rsidR="00F2085D" w:rsidRDefault="00F2085D" w:rsidP="00A26A47">
            <w:pPr>
              <w:spacing w:before="80" w:after="80"/>
              <w:jc w:val="right"/>
              <w:rPr>
                <w:rFonts w:ascii="Times New Roman" w:hAnsi="Times New Roman" w:cs="Times New Roman"/>
              </w:rPr>
            </w:pPr>
          </w:p>
        </w:tc>
        <w:tc>
          <w:tcPr>
            <w:tcW w:w="7822" w:type="dxa"/>
            <w:vAlign w:val="center"/>
          </w:tcPr>
          <w:p w14:paraId="6E445D4D" w14:textId="2B01AEF0" w:rsidR="00F2085D" w:rsidRDefault="00F2085D" w:rsidP="001821D1">
            <w:pPr>
              <w:pStyle w:val="Bullet2"/>
              <w:ind w:left="340" w:hanging="340"/>
            </w:pPr>
            <w:r>
              <w:t>.3</w:t>
            </w:r>
            <w:r w:rsidRPr="002A1724">
              <w:tab/>
              <w:t>A representation made to obtain the mortgage loan is found to be untrue.</w:t>
            </w:r>
          </w:p>
        </w:tc>
        <w:tc>
          <w:tcPr>
            <w:tcW w:w="900" w:type="dxa"/>
            <w:vAlign w:val="center"/>
          </w:tcPr>
          <w:p w14:paraId="4FBC51FA" w14:textId="77777777" w:rsidR="00F2085D" w:rsidRPr="006C189C" w:rsidRDefault="00F2085D" w:rsidP="00A26A47">
            <w:pPr>
              <w:pStyle w:val="Bullet1"/>
              <w:ind w:left="-104"/>
              <w:jc w:val="center"/>
            </w:pPr>
          </w:p>
        </w:tc>
      </w:tr>
      <w:tr w:rsidR="00F2085D" w:rsidRPr="006C189C" w14:paraId="1C951BA0" w14:textId="77777777" w:rsidTr="00A26A47">
        <w:tc>
          <w:tcPr>
            <w:tcW w:w="633" w:type="dxa"/>
          </w:tcPr>
          <w:p w14:paraId="719CAA87" w14:textId="77777777" w:rsidR="00F2085D" w:rsidRDefault="00F2085D" w:rsidP="00A26A47">
            <w:pPr>
              <w:spacing w:before="80" w:after="80"/>
              <w:jc w:val="right"/>
              <w:rPr>
                <w:rFonts w:ascii="Times New Roman" w:hAnsi="Times New Roman" w:cs="Times New Roman"/>
              </w:rPr>
            </w:pPr>
          </w:p>
        </w:tc>
        <w:tc>
          <w:tcPr>
            <w:tcW w:w="7822" w:type="dxa"/>
            <w:vAlign w:val="center"/>
          </w:tcPr>
          <w:p w14:paraId="2246F814" w14:textId="09A42D6C" w:rsidR="00F2085D" w:rsidRDefault="00F2085D" w:rsidP="001821D1">
            <w:pPr>
              <w:pStyle w:val="Bullet2"/>
              <w:ind w:left="340" w:hanging="340"/>
            </w:pPr>
            <w:r>
              <w:t>.4</w:t>
            </w:r>
            <w:r w:rsidRPr="002A1724">
              <w:tab/>
              <w:t>Non-payment of or default under a prior charge.</w:t>
            </w:r>
          </w:p>
        </w:tc>
        <w:tc>
          <w:tcPr>
            <w:tcW w:w="900" w:type="dxa"/>
            <w:vAlign w:val="center"/>
          </w:tcPr>
          <w:p w14:paraId="17A7D4A2" w14:textId="77777777" w:rsidR="00F2085D" w:rsidRPr="006C189C" w:rsidRDefault="00F2085D" w:rsidP="00A26A47">
            <w:pPr>
              <w:pStyle w:val="Bullet1"/>
              <w:ind w:left="-104"/>
              <w:jc w:val="center"/>
            </w:pPr>
          </w:p>
        </w:tc>
      </w:tr>
      <w:tr w:rsidR="00F2085D" w:rsidRPr="006C189C" w14:paraId="6F96133A" w14:textId="77777777" w:rsidTr="00A26A47">
        <w:tc>
          <w:tcPr>
            <w:tcW w:w="633" w:type="dxa"/>
          </w:tcPr>
          <w:p w14:paraId="5C74AE8D" w14:textId="77777777" w:rsidR="00F2085D" w:rsidRDefault="00F2085D" w:rsidP="00A26A47">
            <w:pPr>
              <w:spacing w:before="80" w:after="80"/>
              <w:jc w:val="right"/>
              <w:rPr>
                <w:rFonts w:ascii="Times New Roman" w:hAnsi="Times New Roman" w:cs="Times New Roman"/>
              </w:rPr>
            </w:pPr>
          </w:p>
        </w:tc>
        <w:tc>
          <w:tcPr>
            <w:tcW w:w="7822" w:type="dxa"/>
            <w:vAlign w:val="center"/>
          </w:tcPr>
          <w:p w14:paraId="03594931" w14:textId="72894EB2" w:rsidR="00F2085D" w:rsidRDefault="00F2085D" w:rsidP="001821D1">
            <w:pPr>
              <w:pStyle w:val="Bullet2"/>
              <w:ind w:left="340" w:hanging="340"/>
            </w:pPr>
            <w:r>
              <w:t>.5</w:t>
            </w:r>
            <w:r w:rsidRPr="002A1724">
              <w:tab/>
              <w:t>Insolvency.</w:t>
            </w:r>
          </w:p>
        </w:tc>
        <w:tc>
          <w:tcPr>
            <w:tcW w:w="900" w:type="dxa"/>
            <w:vAlign w:val="center"/>
          </w:tcPr>
          <w:p w14:paraId="13599AD8" w14:textId="77777777" w:rsidR="00F2085D" w:rsidRPr="006C189C" w:rsidRDefault="00F2085D" w:rsidP="00A26A47">
            <w:pPr>
              <w:pStyle w:val="Bullet1"/>
              <w:ind w:left="-104"/>
              <w:jc w:val="center"/>
            </w:pPr>
          </w:p>
        </w:tc>
      </w:tr>
      <w:tr w:rsidR="00F2085D" w:rsidRPr="006C189C" w14:paraId="4BEE2B89" w14:textId="77777777" w:rsidTr="00A26A47">
        <w:tc>
          <w:tcPr>
            <w:tcW w:w="633" w:type="dxa"/>
          </w:tcPr>
          <w:p w14:paraId="615F3832" w14:textId="77777777" w:rsidR="00F2085D" w:rsidRDefault="00F2085D" w:rsidP="00A26A47">
            <w:pPr>
              <w:spacing w:before="80" w:after="80"/>
              <w:jc w:val="right"/>
              <w:rPr>
                <w:rFonts w:ascii="Times New Roman" w:hAnsi="Times New Roman" w:cs="Times New Roman"/>
              </w:rPr>
            </w:pPr>
          </w:p>
        </w:tc>
        <w:tc>
          <w:tcPr>
            <w:tcW w:w="7822" w:type="dxa"/>
            <w:vAlign w:val="center"/>
          </w:tcPr>
          <w:p w14:paraId="1CFBAF68" w14:textId="52969CCD" w:rsidR="00F2085D" w:rsidRDefault="00F2085D" w:rsidP="001821D1">
            <w:pPr>
              <w:pStyle w:val="Bullet2"/>
              <w:ind w:left="340" w:hanging="340"/>
            </w:pPr>
            <w:r>
              <w:t>.6</w:t>
            </w:r>
            <w:r w:rsidRPr="002A1724">
              <w:tab/>
              <w:t>Property sold or further encumbered.</w:t>
            </w:r>
          </w:p>
        </w:tc>
        <w:tc>
          <w:tcPr>
            <w:tcW w:w="900" w:type="dxa"/>
            <w:vAlign w:val="center"/>
          </w:tcPr>
          <w:p w14:paraId="7E84E911" w14:textId="77777777" w:rsidR="00F2085D" w:rsidRPr="006C189C" w:rsidRDefault="00F2085D" w:rsidP="00A26A47">
            <w:pPr>
              <w:pStyle w:val="Bullet1"/>
              <w:ind w:left="-104"/>
              <w:jc w:val="center"/>
            </w:pPr>
          </w:p>
        </w:tc>
      </w:tr>
      <w:tr w:rsidR="00F2085D" w:rsidRPr="006C189C" w14:paraId="6ED189B7" w14:textId="77777777" w:rsidTr="00A26A47">
        <w:tc>
          <w:tcPr>
            <w:tcW w:w="633" w:type="dxa"/>
          </w:tcPr>
          <w:p w14:paraId="66935762" w14:textId="77777777" w:rsidR="00F2085D" w:rsidRDefault="00F2085D" w:rsidP="00A26A47">
            <w:pPr>
              <w:spacing w:before="80" w:after="80"/>
              <w:jc w:val="right"/>
              <w:rPr>
                <w:rFonts w:ascii="Times New Roman" w:hAnsi="Times New Roman" w:cs="Times New Roman"/>
              </w:rPr>
            </w:pPr>
          </w:p>
        </w:tc>
        <w:tc>
          <w:tcPr>
            <w:tcW w:w="7822" w:type="dxa"/>
            <w:vAlign w:val="center"/>
          </w:tcPr>
          <w:p w14:paraId="3D8C3C58" w14:textId="6AE1F9B0" w:rsidR="00F2085D" w:rsidRDefault="00F2085D" w:rsidP="001821D1">
            <w:pPr>
              <w:pStyle w:val="Bullet2"/>
              <w:ind w:left="340" w:hanging="340"/>
            </w:pPr>
            <w:r>
              <w:t>.7</w:t>
            </w:r>
            <w:r w:rsidRPr="002A1724">
              <w:tab/>
              <w:t>Default under another mortgage or loan agreement with the lender or otherwise.</w:t>
            </w:r>
          </w:p>
        </w:tc>
        <w:tc>
          <w:tcPr>
            <w:tcW w:w="900" w:type="dxa"/>
            <w:vAlign w:val="center"/>
          </w:tcPr>
          <w:p w14:paraId="47F3CB78" w14:textId="77777777" w:rsidR="00F2085D" w:rsidRPr="006C189C" w:rsidRDefault="00F2085D" w:rsidP="00A26A47">
            <w:pPr>
              <w:pStyle w:val="Bullet1"/>
              <w:ind w:left="-104"/>
              <w:jc w:val="center"/>
            </w:pPr>
          </w:p>
        </w:tc>
      </w:tr>
      <w:tr w:rsidR="00F2085D" w:rsidRPr="006C189C" w14:paraId="5A41F1B6" w14:textId="77777777" w:rsidTr="00A26A47">
        <w:tc>
          <w:tcPr>
            <w:tcW w:w="633" w:type="dxa"/>
          </w:tcPr>
          <w:p w14:paraId="53F82250" w14:textId="77777777" w:rsidR="00F2085D" w:rsidRDefault="00F2085D" w:rsidP="00A26A47">
            <w:pPr>
              <w:spacing w:before="80" w:after="80"/>
              <w:jc w:val="right"/>
              <w:rPr>
                <w:rFonts w:ascii="Times New Roman" w:hAnsi="Times New Roman" w:cs="Times New Roman"/>
              </w:rPr>
            </w:pPr>
          </w:p>
        </w:tc>
        <w:tc>
          <w:tcPr>
            <w:tcW w:w="7822" w:type="dxa"/>
            <w:vAlign w:val="center"/>
          </w:tcPr>
          <w:p w14:paraId="71493E63" w14:textId="142C8FC8" w:rsidR="00F2085D" w:rsidRDefault="00F2085D" w:rsidP="001821D1">
            <w:pPr>
              <w:pStyle w:val="Bullet2"/>
              <w:ind w:left="340" w:hanging="340"/>
            </w:pPr>
            <w:r>
              <w:t>.8</w:t>
            </w:r>
            <w:r w:rsidRPr="002A1724">
              <w:tab/>
              <w:t xml:space="preserve">Failure to discharge a </w:t>
            </w:r>
            <w:proofErr w:type="gramStart"/>
            <w:r w:rsidRPr="002A1724">
              <w:t>builders</w:t>
            </w:r>
            <w:proofErr w:type="gramEnd"/>
            <w:r w:rsidRPr="002A1724">
              <w:t xml:space="preserve"> lien or judgment within 30 days of notification (or to give security and diligently defend and dispute builders lien claims).</w:t>
            </w:r>
          </w:p>
        </w:tc>
        <w:tc>
          <w:tcPr>
            <w:tcW w:w="900" w:type="dxa"/>
            <w:vAlign w:val="center"/>
          </w:tcPr>
          <w:p w14:paraId="21EB4850" w14:textId="77777777" w:rsidR="00F2085D" w:rsidRPr="006C189C" w:rsidRDefault="00F2085D" w:rsidP="00A26A47">
            <w:pPr>
              <w:pStyle w:val="Bullet1"/>
              <w:ind w:left="-104"/>
              <w:jc w:val="center"/>
            </w:pPr>
          </w:p>
        </w:tc>
      </w:tr>
      <w:tr w:rsidR="00F2085D" w:rsidRPr="006C189C" w14:paraId="76BC7CE3" w14:textId="77777777" w:rsidTr="00A26A47">
        <w:tc>
          <w:tcPr>
            <w:tcW w:w="633" w:type="dxa"/>
          </w:tcPr>
          <w:p w14:paraId="47904958" w14:textId="77777777" w:rsidR="00F2085D" w:rsidRDefault="00F2085D" w:rsidP="00A26A47">
            <w:pPr>
              <w:spacing w:before="80" w:after="80"/>
              <w:jc w:val="right"/>
              <w:rPr>
                <w:rFonts w:ascii="Times New Roman" w:hAnsi="Times New Roman" w:cs="Times New Roman"/>
              </w:rPr>
            </w:pPr>
          </w:p>
        </w:tc>
        <w:tc>
          <w:tcPr>
            <w:tcW w:w="7822" w:type="dxa"/>
            <w:vAlign w:val="center"/>
          </w:tcPr>
          <w:p w14:paraId="055A9555" w14:textId="3A418325" w:rsidR="00F2085D" w:rsidRDefault="00F2085D" w:rsidP="001821D1">
            <w:pPr>
              <w:pStyle w:val="Bullet2"/>
              <w:ind w:left="340" w:hanging="340"/>
            </w:pPr>
            <w:r>
              <w:t>.9</w:t>
            </w:r>
            <w:r w:rsidRPr="002A1724">
              <w:tab/>
              <w:t>If the borrower is a privately held corporation, change of control of the borrower.</w:t>
            </w:r>
          </w:p>
        </w:tc>
        <w:tc>
          <w:tcPr>
            <w:tcW w:w="900" w:type="dxa"/>
            <w:vAlign w:val="center"/>
          </w:tcPr>
          <w:p w14:paraId="7F1F819E" w14:textId="77777777" w:rsidR="00F2085D" w:rsidRPr="006C189C" w:rsidRDefault="00F2085D" w:rsidP="00A26A47">
            <w:pPr>
              <w:pStyle w:val="Bullet1"/>
              <w:ind w:left="-104"/>
              <w:jc w:val="center"/>
            </w:pPr>
          </w:p>
        </w:tc>
      </w:tr>
      <w:tr w:rsidR="00F2085D" w:rsidRPr="006C189C" w14:paraId="691E23EA" w14:textId="77777777" w:rsidTr="00A26A47">
        <w:tc>
          <w:tcPr>
            <w:tcW w:w="633" w:type="dxa"/>
          </w:tcPr>
          <w:p w14:paraId="30739431" w14:textId="2ADDAA09" w:rsidR="00F2085D" w:rsidRDefault="00F2085D" w:rsidP="00A26A47">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5D08E9CD" w14:textId="208BE9A4" w:rsidR="00F2085D" w:rsidRDefault="00F2085D" w:rsidP="00F2085D">
            <w:pPr>
              <w:pStyle w:val="Bullet1"/>
            </w:pPr>
            <w:r w:rsidRPr="002A1724">
              <w:t>The lender may waive any breach or default, but this does not affect the rights arising from subsequent breaches or defaults.</w:t>
            </w:r>
          </w:p>
        </w:tc>
        <w:tc>
          <w:tcPr>
            <w:tcW w:w="900" w:type="dxa"/>
            <w:vAlign w:val="center"/>
          </w:tcPr>
          <w:p w14:paraId="39FE3AAF" w14:textId="6C154E19" w:rsidR="00F2085D" w:rsidRPr="006C189C" w:rsidRDefault="00F2085D" w:rsidP="00A26A47">
            <w:pPr>
              <w:pStyle w:val="Bullet1"/>
              <w:ind w:left="-104"/>
              <w:jc w:val="center"/>
            </w:pPr>
            <w:r w:rsidRPr="00437BB1">
              <w:rPr>
                <w:sz w:val="40"/>
                <w:szCs w:val="40"/>
              </w:rPr>
              <w:sym w:font="Wingdings 2" w:char="F0A3"/>
            </w:r>
          </w:p>
        </w:tc>
      </w:tr>
    </w:tbl>
    <w:p w14:paraId="0951823F" w14:textId="790BA483" w:rsidR="00AB07A3" w:rsidRDefault="00AB07A3"/>
    <w:tbl>
      <w:tblPr>
        <w:tblStyle w:val="TableGrid"/>
        <w:tblW w:w="0" w:type="auto"/>
        <w:tblLook w:val="04A0" w:firstRow="1" w:lastRow="0" w:firstColumn="1" w:lastColumn="0" w:noHBand="0" w:noVBand="1"/>
      </w:tblPr>
      <w:tblGrid>
        <w:gridCol w:w="633"/>
        <w:gridCol w:w="7822"/>
        <w:gridCol w:w="900"/>
      </w:tblGrid>
      <w:tr w:rsidR="00D00779" w:rsidRPr="006C189C" w14:paraId="1D7300C6" w14:textId="77777777" w:rsidTr="00A26A47">
        <w:tc>
          <w:tcPr>
            <w:tcW w:w="633" w:type="dxa"/>
            <w:shd w:val="clear" w:color="auto" w:fill="D9E2F3" w:themeFill="accent1" w:themeFillTint="33"/>
          </w:tcPr>
          <w:p w14:paraId="4518DD66" w14:textId="1457D9F7" w:rsidR="00D00779" w:rsidRPr="0024237C" w:rsidRDefault="00F2085D" w:rsidP="00A26A47">
            <w:pPr>
              <w:spacing w:before="80" w:after="80"/>
              <w:jc w:val="right"/>
              <w:rPr>
                <w:rFonts w:ascii="Times New Roman" w:hAnsi="Times New Roman" w:cs="Times New Roman"/>
                <w:b/>
              </w:rPr>
            </w:pPr>
            <w:r>
              <w:rPr>
                <w:rFonts w:ascii="Times New Roman" w:hAnsi="Times New Roman" w:cs="Times New Roman"/>
                <w:b/>
              </w:rPr>
              <w:t>11</w:t>
            </w:r>
            <w:r w:rsidR="00D00779">
              <w:rPr>
                <w:rFonts w:ascii="Times New Roman" w:hAnsi="Times New Roman" w:cs="Times New Roman"/>
                <w:b/>
              </w:rPr>
              <w:t>.</w:t>
            </w:r>
          </w:p>
        </w:tc>
        <w:tc>
          <w:tcPr>
            <w:tcW w:w="8722" w:type="dxa"/>
            <w:gridSpan w:val="2"/>
            <w:shd w:val="clear" w:color="auto" w:fill="D9E2F3" w:themeFill="accent1" w:themeFillTint="33"/>
            <w:vAlign w:val="center"/>
          </w:tcPr>
          <w:p w14:paraId="65F259FC" w14:textId="4B70DDF0" w:rsidR="00D00779" w:rsidRPr="006C189C" w:rsidRDefault="00F2085D" w:rsidP="00A26A47">
            <w:pPr>
              <w:pStyle w:val="Heading1"/>
              <w:spacing w:before="80" w:after="80"/>
              <w:outlineLvl w:val="0"/>
            </w:pPr>
            <w:r>
              <w:t>ENFORCEMENT</w:t>
            </w:r>
          </w:p>
        </w:tc>
      </w:tr>
      <w:tr w:rsidR="00D00779" w:rsidRPr="006C189C" w14:paraId="29338D5F" w14:textId="77777777" w:rsidTr="00A26A47">
        <w:tc>
          <w:tcPr>
            <w:tcW w:w="633" w:type="dxa"/>
          </w:tcPr>
          <w:p w14:paraId="5FF178CE" w14:textId="64384597" w:rsidR="00D00779" w:rsidRPr="006C189C" w:rsidRDefault="00F2085D" w:rsidP="00A26A47">
            <w:pPr>
              <w:spacing w:before="80" w:after="80"/>
              <w:jc w:val="right"/>
              <w:rPr>
                <w:rFonts w:ascii="Times New Roman" w:hAnsi="Times New Roman" w:cs="Times New Roman"/>
              </w:rPr>
            </w:pPr>
            <w:r>
              <w:rPr>
                <w:rFonts w:ascii="Times New Roman" w:hAnsi="Times New Roman" w:cs="Times New Roman"/>
              </w:rPr>
              <w:t>11</w:t>
            </w:r>
            <w:r w:rsidR="00D00779">
              <w:rPr>
                <w:rFonts w:ascii="Times New Roman" w:hAnsi="Times New Roman" w:cs="Times New Roman"/>
              </w:rPr>
              <w:t>.1</w:t>
            </w:r>
          </w:p>
        </w:tc>
        <w:tc>
          <w:tcPr>
            <w:tcW w:w="7822" w:type="dxa"/>
            <w:vAlign w:val="center"/>
          </w:tcPr>
          <w:p w14:paraId="4DB45E9C" w14:textId="31DDD5FF" w:rsidR="00D00779" w:rsidRPr="006C189C" w:rsidRDefault="00F2085D" w:rsidP="00A26A47">
            <w:pPr>
              <w:pStyle w:val="Bullet1"/>
            </w:pPr>
            <w:r w:rsidRPr="002A1724">
              <w:t>Specify circumstances in which the lender may use the various measures set out in the mortgage.</w:t>
            </w:r>
          </w:p>
        </w:tc>
        <w:tc>
          <w:tcPr>
            <w:tcW w:w="900" w:type="dxa"/>
            <w:vAlign w:val="center"/>
          </w:tcPr>
          <w:p w14:paraId="1B9E7678"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76F015DE" w14:textId="77777777" w:rsidTr="00A26A47">
        <w:tc>
          <w:tcPr>
            <w:tcW w:w="633" w:type="dxa"/>
          </w:tcPr>
          <w:p w14:paraId="39C33CB2" w14:textId="41BB1FB2" w:rsidR="00D00779" w:rsidRDefault="00F2085D" w:rsidP="00A26A47">
            <w:pPr>
              <w:spacing w:before="80" w:after="80"/>
              <w:jc w:val="right"/>
              <w:rPr>
                <w:rFonts w:ascii="Times New Roman" w:hAnsi="Times New Roman" w:cs="Times New Roman"/>
              </w:rPr>
            </w:pPr>
            <w:r>
              <w:rPr>
                <w:rFonts w:ascii="Times New Roman" w:hAnsi="Times New Roman" w:cs="Times New Roman"/>
              </w:rPr>
              <w:lastRenderedPageBreak/>
              <w:t>11</w:t>
            </w:r>
            <w:r w:rsidR="00D00779">
              <w:rPr>
                <w:rFonts w:ascii="Times New Roman" w:hAnsi="Times New Roman" w:cs="Times New Roman"/>
              </w:rPr>
              <w:t>.2</w:t>
            </w:r>
          </w:p>
        </w:tc>
        <w:tc>
          <w:tcPr>
            <w:tcW w:w="7822" w:type="dxa"/>
            <w:vAlign w:val="center"/>
          </w:tcPr>
          <w:p w14:paraId="11FC4193" w14:textId="3414116C" w:rsidR="00D00779" w:rsidRPr="002A1724" w:rsidRDefault="00F2085D" w:rsidP="00A26A47">
            <w:pPr>
              <w:pStyle w:val="Bullet1"/>
            </w:pPr>
            <w:r w:rsidRPr="002A1724">
              <w:t>Power to enter, take possession of, and use the property, and to exclude the borrower, but the lender in doing so will not be considered a lender in possession.</w:t>
            </w:r>
          </w:p>
        </w:tc>
        <w:tc>
          <w:tcPr>
            <w:tcW w:w="900" w:type="dxa"/>
            <w:vAlign w:val="center"/>
          </w:tcPr>
          <w:p w14:paraId="156C4DC4" w14:textId="615915E1" w:rsidR="00D00779" w:rsidRPr="006C189C" w:rsidRDefault="00F2085D" w:rsidP="00A26A47">
            <w:pPr>
              <w:pStyle w:val="Bullet1"/>
              <w:ind w:left="-104"/>
              <w:jc w:val="center"/>
            </w:pPr>
            <w:r w:rsidRPr="00437BB1">
              <w:rPr>
                <w:sz w:val="40"/>
                <w:szCs w:val="40"/>
              </w:rPr>
              <w:sym w:font="Wingdings 2" w:char="F0A3"/>
            </w:r>
          </w:p>
        </w:tc>
      </w:tr>
      <w:tr w:rsidR="00F2085D" w:rsidRPr="006C189C" w14:paraId="15016016" w14:textId="77777777" w:rsidTr="00A26A47">
        <w:tc>
          <w:tcPr>
            <w:tcW w:w="633" w:type="dxa"/>
          </w:tcPr>
          <w:p w14:paraId="3E7981AF" w14:textId="6913252F" w:rsidR="00F2085D" w:rsidRDefault="00F2085D" w:rsidP="00A26A47">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5670EAF1" w14:textId="67506A77" w:rsidR="00F2085D" w:rsidRPr="002A1724" w:rsidRDefault="00F2085D" w:rsidP="00A26A47">
            <w:pPr>
              <w:pStyle w:val="Bullet1"/>
            </w:pPr>
            <w:r w:rsidRPr="002A1724">
              <w:t>Power to preserve, maintain, and repair the property.</w:t>
            </w:r>
          </w:p>
        </w:tc>
        <w:tc>
          <w:tcPr>
            <w:tcW w:w="900" w:type="dxa"/>
            <w:vAlign w:val="center"/>
          </w:tcPr>
          <w:p w14:paraId="44F20D9F" w14:textId="24912921" w:rsidR="00F2085D" w:rsidRPr="006C189C" w:rsidRDefault="00F2085D" w:rsidP="00A26A47">
            <w:pPr>
              <w:pStyle w:val="Bullet1"/>
              <w:ind w:left="-104"/>
              <w:jc w:val="center"/>
            </w:pPr>
            <w:r w:rsidRPr="00437BB1">
              <w:rPr>
                <w:sz w:val="40"/>
                <w:szCs w:val="40"/>
              </w:rPr>
              <w:sym w:font="Wingdings 2" w:char="F0A3"/>
            </w:r>
          </w:p>
        </w:tc>
      </w:tr>
      <w:tr w:rsidR="00F2085D" w:rsidRPr="006C189C" w14:paraId="08AA94EF" w14:textId="77777777" w:rsidTr="00A26A47">
        <w:tc>
          <w:tcPr>
            <w:tcW w:w="633" w:type="dxa"/>
          </w:tcPr>
          <w:p w14:paraId="265D9724" w14:textId="14DDF60F" w:rsidR="00F2085D" w:rsidRDefault="00F2085D" w:rsidP="00A26A47">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6F7C005D" w14:textId="76E7CB9E" w:rsidR="00F2085D" w:rsidRPr="002A1724" w:rsidRDefault="00F2085D" w:rsidP="00A26A47">
            <w:pPr>
              <w:pStyle w:val="Bullet1"/>
            </w:pPr>
            <w:r w:rsidRPr="002A1724">
              <w:t>Power to lease or sell, with the proceeds of the sale being applied as set out in the mortgage.</w:t>
            </w:r>
          </w:p>
        </w:tc>
        <w:tc>
          <w:tcPr>
            <w:tcW w:w="900" w:type="dxa"/>
            <w:vAlign w:val="center"/>
          </w:tcPr>
          <w:p w14:paraId="0326F5A6" w14:textId="35505513" w:rsidR="00F2085D" w:rsidRPr="006C189C" w:rsidRDefault="00F2085D" w:rsidP="00A26A47">
            <w:pPr>
              <w:pStyle w:val="Bullet1"/>
              <w:ind w:left="-104"/>
              <w:jc w:val="center"/>
            </w:pPr>
            <w:r w:rsidRPr="00437BB1">
              <w:rPr>
                <w:sz w:val="40"/>
                <w:szCs w:val="40"/>
              </w:rPr>
              <w:sym w:font="Wingdings 2" w:char="F0A3"/>
            </w:r>
          </w:p>
        </w:tc>
      </w:tr>
      <w:tr w:rsidR="00F2085D" w:rsidRPr="006C189C" w14:paraId="7EBADA63" w14:textId="77777777" w:rsidTr="00A26A47">
        <w:tc>
          <w:tcPr>
            <w:tcW w:w="633" w:type="dxa"/>
          </w:tcPr>
          <w:p w14:paraId="505E77DC" w14:textId="35A67B96" w:rsidR="00F2085D" w:rsidRDefault="00F2085D" w:rsidP="00A26A47">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5329197F" w14:textId="275AAA5D" w:rsidR="00F2085D" w:rsidRPr="002A1724" w:rsidRDefault="00F2085D" w:rsidP="00A26A47">
            <w:pPr>
              <w:pStyle w:val="Bullet1"/>
            </w:pPr>
            <w:r w:rsidRPr="002A1724">
              <w:t>Power to have a receiver or receiver-manager appointed.</w:t>
            </w:r>
          </w:p>
        </w:tc>
        <w:tc>
          <w:tcPr>
            <w:tcW w:w="900" w:type="dxa"/>
            <w:vAlign w:val="center"/>
          </w:tcPr>
          <w:p w14:paraId="6AC41086" w14:textId="78DB1E8D" w:rsidR="00F2085D" w:rsidRPr="006C189C" w:rsidRDefault="00F2085D" w:rsidP="00A26A47">
            <w:pPr>
              <w:pStyle w:val="Bullet1"/>
              <w:ind w:left="-104"/>
              <w:jc w:val="center"/>
            </w:pPr>
            <w:r w:rsidRPr="00437BB1">
              <w:rPr>
                <w:sz w:val="40"/>
                <w:szCs w:val="40"/>
              </w:rPr>
              <w:sym w:font="Wingdings 2" w:char="F0A3"/>
            </w:r>
          </w:p>
        </w:tc>
      </w:tr>
    </w:tbl>
    <w:p w14:paraId="513A653D"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15"/>
        <w:gridCol w:w="7830"/>
        <w:gridCol w:w="810"/>
      </w:tblGrid>
      <w:tr w:rsidR="00D00779" w:rsidRPr="006C189C" w14:paraId="6F828E8E" w14:textId="77777777" w:rsidTr="00FF1647">
        <w:tc>
          <w:tcPr>
            <w:tcW w:w="715" w:type="dxa"/>
            <w:shd w:val="clear" w:color="auto" w:fill="D9E2F3" w:themeFill="accent1" w:themeFillTint="33"/>
          </w:tcPr>
          <w:p w14:paraId="484AC733" w14:textId="3CE45050" w:rsidR="00D00779" w:rsidRPr="0024237C" w:rsidRDefault="00743584" w:rsidP="00A26A47">
            <w:pPr>
              <w:spacing w:before="80" w:after="80"/>
              <w:jc w:val="right"/>
              <w:rPr>
                <w:rFonts w:ascii="Times New Roman" w:hAnsi="Times New Roman" w:cs="Times New Roman"/>
                <w:b/>
              </w:rPr>
            </w:pPr>
            <w:r>
              <w:br w:type="page"/>
            </w:r>
            <w:r w:rsidR="00F2085D">
              <w:rPr>
                <w:rFonts w:ascii="Times New Roman" w:hAnsi="Times New Roman" w:cs="Times New Roman"/>
                <w:b/>
              </w:rPr>
              <w:t>12</w:t>
            </w:r>
            <w:r w:rsidR="00D00779">
              <w:rPr>
                <w:rFonts w:ascii="Times New Roman" w:hAnsi="Times New Roman" w:cs="Times New Roman"/>
                <w:b/>
              </w:rPr>
              <w:t>.</w:t>
            </w:r>
          </w:p>
        </w:tc>
        <w:tc>
          <w:tcPr>
            <w:tcW w:w="8640" w:type="dxa"/>
            <w:gridSpan w:val="2"/>
            <w:shd w:val="clear" w:color="auto" w:fill="D9E2F3" w:themeFill="accent1" w:themeFillTint="33"/>
            <w:vAlign w:val="center"/>
          </w:tcPr>
          <w:p w14:paraId="77C8DAE6" w14:textId="7D3207BE" w:rsidR="00D00779" w:rsidRPr="006C189C" w:rsidRDefault="00F2085D" w:rsidP="00A26A47">
            <w:pPr>
              <w:pStyle w:val="Heading1"/>
              <w:spacing w:before="80" w:after="80"/>
              <w:outlineLvl w:val="0"/>
            </w:pPr>
            <w:r w:rsidRPr="002A1724">
              <w:t>OTHER RIGHTS OF THE LENDER</w:t>
            </w:r>
          </w:p>
        </w:tc>
      </w:tr>
      <w:tr w:rsidR="00D00779" w:rsidRPr="006C189C" w14:paraId="0DC5DAFA" w14:textId="77777777" w:rsidTr="00FF1647">
        <w:tc>
          <w:tcPr>
            <w:tcW w:w="715" w:type="dxa"/>
          </w:tcPr>
          <w:p w14:paraId="7EA3D817" w14:textId="4DBA5455" w:rsidR="00D00779" w:rsidRPr="006C189C" w:rsidRDefault="00F2085D" w:rsidP="00A26A47">
            <w:pPr>
              <w:spacing w:before="80" w:after="80"/>
              <w:jc w:val="right"/>
              <w:rPr>
                <w:rFonts w:ascii="Times New Roman" w:hAnsi="Times New Roman" w:cs="Times New Roman"/>
              </w:rPr>
            </w:pPr>
            <w:r>
              <w:rPr>
                <w:rFonts w:ascii="Times New Roman" w:hAnsi="Times New Roman" w:cs="Times New Roman"/>
              </w:rPr>
              <w:t>12</w:t>
            </w:r>
            <w:r w:rsidR="00D00779">
              <w:rPr>
                <w:rFonts w:ascii="Times New Roman" w:hAnsi="Times New Roman" w:cs="Times New Roman"/>
              </w:rPr>
              <w:t>.1</w:t>
            </w:r>
          </w:p>
        </w:tc>
        <w:tc>
          <w:tcPr>
            <w:tcW w:w="7830" w:type="dxa"/>
            <w:vAlign w:val="center"/>
          </w:tcPr>
          <w:p w14:paraId="6EA5E9F5" w14:textId="68471B1A" w:rsidR="00D00779" w:rsidRPr="006C189C" w:rsidRDefault="00C56880" w:rsidP="00A26A47">
            <w:pPr>
              <w:pStyle w:val="Bullet1"/>
            </w:pPr>
            <w:r w:rsidRPr="002A1724">
              <w:t>To do anything the borrower is required to do, if the borrower fails to do so. Costs to be added to debt and bear interest and to be immediately payable by the borrower.</w:t>
            </w:r>
          </w:p>
        </w:tc>
        <w:tc>
          <w:tcPr>
            <w:tcW w:w="810" w:type="dxa"/>
            <w:vAlign w:val="center"/>
          </w:tcPr>
          <w:p w14:paraId="6E0D42BA"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12994946" w14:textId="77777777" w:rsidTr="00FF1647">
        <w:tc>
          <w:tcPr>
            <w:tcW w:w="715" w:type="dxa"/>
          </w:tcPr>
          <w:p w14:paraId="7A6E509B" w14:textId="2D010DD3" w:rsidR="00D00779" w:rsidRDefault="00F2085D" w:rsidP="00A26A47">
            <w:pPr>
              <w:spacing w:before="80" w:after="80"/>
              <w:jc w:val="right"/>
              <w:rPr>
                <w:rFonts w:ascii="Times New Roman" w:hAnsi="Times New Roman" w:cs="Times New Roman"/>
              </w:rPr>
            </w:pPr>
            <w:r>
              <w:rPr>
                <w:rFonts w:ascii="Times New Roman" w:hAnsi="Times New Roman" w:cs="Times New Roman"/>
              </w:rPr>
              <w:t>12</w:t>
            </w:r>
            <w:r w:rsidR="00D00779">
              <w:rPr>
                <w:rFonts w:ascii="Times New Roman" w:hAnsi="Times New Roman" w:cs="Times New Roman"/>
              </w:rPr>
              <w:t>.2</w:t>
            </w:r>
          </w:p>
        </w:tc>
        <w:tc>
          <w:tcPr>
            <w:tcW w:w="7830" w:type="dxa"/>
            <w:vAlign w:val="center"/>
          </w:tcPr>
          <w:p w14:paraId="75173574" w14:textId="47B29925" w:rsidR="00D00779" w:rsidRPr="002A1724" w:rsidRDefault="00C56880" w:rsidP="00A26A47">
            <w:pPr>
              <w:pStyle w:val="Bullet1"/>
            </w:pPr>
            <w:r w:rsidRPr="002A1724">
              <w:t>To pay monies to preserve, protect, or repair the property. Costs to be added to the debt and bear interest and to be immediately payable by the borrower.</w:t>
            </w:r>
          </w:p>
        </w:tc>
        <w:tc>
          <w:tcPr>
            <w:tcW w:w="810" w:type="dxa"/>
            <w:vAlign w:val="center"/>
          </w:tcPr>
          <w:p w14:paraId="166A99C1" w14:textId="1BE09641" w:rsidR="00D00779" w:rsidRPr="006C189C" w:rsidRDefault="00F2085D" w:rsidP="00A26A47">
            <w:pPr>
              <w:pStyle w:val="Bullet1"/>
              <w:ind w:left="-104"/>
              <w:jc w:val="center"/>
            </w:pPr>
            <w:r w:rsidRPr="00437BB1">
              <w:rPr>
                <w:sz w:val="40"/>
                <w:szCs w:val="40"/>
              </w:rPr>
              <w:sym w:font="Wingdings 2" w:char="F0A3"/>
            </w:r>
          </w:p>
        </w:tc>
      </w:tr>
      <w:tr w:rsidR="00F2085D" w:rsidRPr="006C189C" w14:paraId="0EDBC1CE" w14:textId="77777777" w:rsidTr="00FF1647">
        <w:tc>
          <w:tcPr>
            <w:tcW w:w="715" w:type="dxa"/>
          </w:tcPr>
          <w:p w14:paraId="510ABEB9" w14:textId="4320B48E" w:rsidR="00F2085D" w:rsidRDefault="00F2085D" w:rsidP="00A26A47">
            <w:pPr>
              <w:spacing w:before="80" w:after="80"/>
              <w:jc w:val="right"/>
              <w:rPr>
                <w:rFonts w:ascii="Times New Roman" w:hAnsi="Times New Roman" w:cs="Times New Roman"/>
              </w:rPr>
            </w:pPr>
            <w:r>
              <w:rPr>
                <w:rFonts w:ascii="Times New Roman" w:hAnsi="Times New Roman" w:cs="Times New Roman"/>
              </w:rPr>
              <w:t>12.3</w:t>
            </w:r>
          </w:p>
        </w:tc>
        <w:tc>
          <w:tcPr>
            <w:tcW w:w="7830" w:type="dxa"/>
            <w:vAlign w:val="center"/>
          </w:tcPr>
          <w:p w14:paraId="2443A509" w14:textId="6C8F0C97" w:rsidR="00F2085D" w:rsidRPr="002A1724" w:rsidRDefault="00F2085D" w:rsidP="00A26A47">
            <w:pPr>
              <w:pStyle w:val="Bullet1"/>
            </w:pPr>
            <w:r w:rsidRPr="002A1724">
              <w:t>To discharge any unregistered encumbrances having priority, of which the lender is unaware upon making the advance.</w:t>
            </w:r>
          </w:p>
        </w:tc>
        <w:tc>
          <w:tcPr>
            <w:tcW w:w="810" w:type="dxa"/>
            <w:vAlign w:val="center"/>
          </w:tcPr>
          <w:p w14:paraId="521F1E57" w14:textId="46B8B236" w:rsidR="00F2085D" w:rsidRPr="006C189C" w:rsidRDefault="00F2085D" w:rsidP="00A26A47">
            <w:pPr>
              <w:pStyle w:val="Bullet1"/>
              <w:ind w:left="-104"/>
              <w:jc w:val="center"/>
            </w:pPr>
            <w:r w:rsidRPr="00437BB1">
              <w:rPr>
                <w:sz w:val="40"/>
                <w:szCs w:val="40"/>
              </w:rPr>
              <w:sym w:font="Wingdings 2" w:char="F0A3"/>
            </w:r>
          </w:p>
        </w:tc>
      </w:tr>
      <w:tr w:rsidR="00F2085D" w:rsidRPr="006C189C" w14:paraId="77E2FB99" w14:textId="77777777" w:rsidTr="00FF1647">
        <w:tc>
          <w:tcPr>
            <w:tcW w:w="715" w:type="dxa"/>
          </w:tcPr>
          <w:p w14:paraId="22FAD322" w14:textId="0CB3B5C6" w:rsidR="00F2085D" w:rsidRDefault="00F2085D" w:rsidP="00A26A47">
            <w:pPr>
              <w:spacing w:before="80" w:after="80"/>
              <w:jc w:val="right"/>
              <w:rPr>
                <w:rFonts w:ascii="Times New Roman" w:hAnsi="Times New Roman" w:cs="Times New Roman"/>
              </w:rPr>
            </w:pPr>
            <w:r>
              <w:rPr>
                <w:rFonts w:ascii="Times New Roman" w:hAnsi="Times New Roman" w:cs="Times New Roman"/>
              </w:rPr>
              <w:t>12.4</w:t>
            </w:r>
          </w:p>
        </w:tc>
        <w:tc>
          <w:tcPr>
            <w:tcW w:w="7830" w:type="dxa"/>
            <w:vAlign w:val="center"/>
          </w:tcPr>
          <w:p w14:paraId="0B828317" w14:textId="798040EC" w:rsidR="00F2085D" w:rsidRPr="002A1724" w:rsidRDefault="00F2085D" w:rsidP="00A26A47">
            <w:pPr>
              <w:pStyle w:val="Bullet1"/>
            </w:pPr>
            <w:r w:rsidRPr="002A1724">
              <w:t>To deduct from advances, unpaid taxes, taxes to become due in that year, or interest to the adjustment date.</w:t>
            </w:r>
          </w:p>
        </w:tc>
        <w:tc>
          <w:tcPr>
            <w:tcW w:w="810" w:type="dxa"/>
            <w:vAlign w:val="center"/>
          </w:tcPr>
          <w:p w14:paraId="28EBC4A0" w14:textId="1A56A1AC" w:rsidR="00F2085D" w:rsidRPr="006C189C" w:rsidRDefault="00F2085D" w:rsidP="00A26A47">
            <w:pPr>
              <w:pStyle w:val="Bullet1"/>
              <w:ind w:left="-104"/>
              <w:jc w:val="center"/>
            </w:pPr>
            <w:r w:rsidRPr="00437BB1">
              <w:rPr>
                <w:sz w:val="40"/>
                <w:szCs w:val="40"/>
              </w:rPr>
              <w:sym w:font="Wingdings 2" w:char="F0A3"/>
            </w:r>
          </w:p>
        </w:tc>
      </w:tr>
      <w:tr w:rsidR="00F2085D" w:rsidRPr="006C189C" w14:paraId="30D0DC43" w14:textId="77777777" w:rsidTr="00FF1647">
        <w:tc>
          <w:tcPr>
            <w:tcW w:w="715" w:type="dxa"/>
          </w:tcPr>
          <w:p w14:paraId="23DDCA5C" w14:textId="70A04FF4" w:rsidR="00F2085D" w:rsidRDefault="00F2085D" w:rsidP="00A26A47">
            <w:pPr>
              <w:spacing w:before="80" w:after="80"/>
              <w:jc w:val="right"/>
              <w:rPr>
                <w:rFonts w:ascii="Times New Roman" w:hAnsi="Times New Roman" w:cs="Times New Roman"/>
              </w:rPr>
            </w:pPr>
            <w:r>
              <w:rPr>
                <w:rFonts w:ascii="Times New Roman" w:hAnsi="Times New Roman" w:cs="Times New Roman"/>
              </w:rPr>
              <w:t>12.5</w:t>
            </w:r>
          </w:p>
        </w:tc>
        <w:tc>
          <w:tcPr>
            <w:tcW w:w="7830" w:type="dxa"/>
            <w:vAlign w:val="center"/>
          </w:tcPr>
          <w:p w14:paraId="0EA8E951" w14:textId="5B6C93E0" w:rsidR="00F2085D" w:rsidRPr="002A1724" w:rsidRDefault="00F2085D" w:rsidP="00A26A47">
            <w:pPr>
              <w:pStyle w:val="Bullet1"/>
            </w:pPr>
            <w:r w:rsidRPr="002A1724">
              <w:t>To release one guarantor or covenantor without releasing the others or prejudicing the security.</w:t>
            </w:r>
          </w:p>
        </w:tc>
        <w:tc>
          <w:tcPr>
            <w:tcW w:w="810" w:type="dxa"/>
            <w:vAlign w:val="center"/>
          </w:tcPr>
          <w:p w14:paraId="010B7D41" w14:textId="56CD499A" w:rsidR="00F2085D" w:rsidRPr="006C189C" w:rsidRDefault="00F2085D" w:rsidP="00A26A47">
            <w:pPr>
              <w:pStyle w:val="Bullet1"/>
              <w:ind w:left="-104"/>
              <w:jc w:val="center"/>
            </w:pPr>
            <w:r w:rsidRPr="00437BB1">
              <w:rPr>
                <w:sz w:val="40"/>
                <w:szCs w:val="40"/>
              </w:rPr>
              <w:sym w:font="Wingdings 2" w:char="F0A3"/>
            </w:r>
          </w:p>
        </w:tc>
      </w:tr>
      <w:tr w:rsidR="00F2085D" w:rsidRPr="006C189C" w14:paraId="2E176FF4" w14:textId="77777777" w:rsidTr="00FF1647">
        <w:tc>
          <w:tcPr>
            <w:tcW w:w="715" w:type="dxa"/>
          </w:tcPr>
          <w:p w14:paraId="58651075" w14:textId="5548642A" w:rsidR="00F2085D" w:rsidRDefault="00F2085D" w:rsidP="00A26A47">
            <w:pPr>
              <w:spacing w:before="80" w:after="80"/>
              <w:jc w:val="right"/>
              <w:rPr>
                <w:rFonts w:ascii="Times New Roman" w:hAnsi="Times New Roman" w:cs="Times New Roman"/>
              </w:rPr>
            </w:pPr>
            <w:r>
              <w:rPr>
                <w:rFonts w:ascii="Times New Roman" w:hAnsi="Times New Roman" w:cs="Times New Roman"/>
              </w:rPr>
              <w:t>12.6</w:t>
            </w:r>
          </w:p>
        </w:tc>
        <w:tc>
          <w:tcPr>
            <w:tcW w:w="7830" w:type="dxa"/>
            <w:vAlign w:val="center"/>
          </w:tcPr>
          <w:p w14:paraId="38354DC4" w14:textId="094842B5" w:rsidR="00F2085D" w:rsidRPr="002A1724" w:rsidRDefault="00F2085D" w:rsidP="00A26A47">
            <w:pPr>
              <w:pStyle w:val="Bullet1"/>
            </w:pPr>
            <w:r w:rsidRPr="002A1724">
              <w:t>To apply insurance proceeds to the repair or reinstatement of the property or to monies owing.</w:t>
            </w:r>
          </w:p>
        </w:tc>
        <w:tc>
          <w:tcPr>
            <w:tcW w:w="810" w:type="dxa"/>
            <w:vAlign w:val="center"/>
          </w:tcPr>
          <w:p w14:paraId="6FF53C4E" w14:textId="78D44731" w:rsidR="00F2085D" w:rsidRPr="006C189C" w:rsidRDefault="00F2085D" w:rsidP="00A26A47">
            <w:pPr>
              <w:pStyle w:val="Bullet1"/>
              <w:ind w:left="-104"/>
              <w:jc w:val="center"/>
            </w:pPr>
            <w:r w:rsidRPr="00437BB1">
              <w:rPr>
                <w:sz w:val="40"/>
                <w:szCs w:val="40"/>
              </w:rPr>
              <w:sym w:font="Wingdings 2" w:char="F0A3"/>
            </w:r>
          </w:p>
        </w:tc>
      </w:tr>
      <w:tr w:rsidR="00F2085D" w:rsidRPr="006C189C" w14:paraId="79173FF2" w14:textId="77777777" w:rsidTr="00FF1647">
        <w:tc>
          <w:tcPr>
            <w:tcW w:w="715" w:type="dxa"/>
          </w:tcPr>
          <w:p w14:paraId="249B7B93" w14:textId="479D873F" w:rsidR="00F2085D" w:rsidRDefault="00F2085D" w:rsidP="00A26A47">
            <w:pPr>
              <w:spacing w:before="80" w:after="80"/>
              <w:jc w:val="right"/>
              <w:rPr>
                <w:rFonts w:ascii="Times New Roman" w:hAnsi="Times New Roman" w:cs="Times New Roman"/>
              </w:rPr>
            </w:pPr>
            <w:r>
              <w:rPr>
                <w:rFonts w:ascii="Times New Roman" w:hAnsi="Times New Roman" w:cs="Times New Roman"/>
              </w:rPr>
              <w:t>12.7</w:t>
            </w:r>
          </w:p>
        </w:tc>
        <w:tc>
          <w:tcPr>
            <w:tcW w:w="7830" w:type="dxa"/>
            <w:vAlign w:val="center"/>
          </w:tcPr>
          <w:p w14:paraId="7BE087D9" w14:textId="1E447895" w:rsidR="00F2085D" w:rsidRPr="002A1724" w:rsidRDefault="00F2085D" w:rsidP="00A26A47">
            <w:pPr>
              <w:pStyle w:val="Bullet1"/>
            </w:pPr>
            <w:r w:rsidRPr="002A1724">
              <w:t>To require the borrower to surrender any statutory right to require the insurance proceeds to be applied in any particular manner.</w:t>
            </w:r>
          </w:p>
        </w:tc>
        <w:tc>
          <w:tcPr>
            <w:tcW w:w="810" w:type="dxa"/>
            <w:vAlign w:val="center"/>
          </w:tcPr>
          <w:p w14:paraId="6FC87AAD" w14:textId="51EACE80" w:rsidR="00F2085D" w:rsidRPr="006C189C" w:rsidRDefault="00F2085D" w:rsidP="00A26A47">
            <w:pPr>
              <w:pStyle w:val="Bullet1"/>
              <w:ind w:left="-104"/>
              <w:jc w:val="center"/>
            </w:pPr>
            <w:r w:rsidRPr="00437BB1">
              <w:rPr>
                <w:sz w:val="40"/>
                <w:szCs w:val="40"/>
              </w:rPr>
              <w:sym w:font="Wingdings 2" w:char="F0A3"/>
            </w:r>
          </w:p>
        </w:tc>
      </w:tr>
      <w:tr w:rsidR="00F2085D" w:rsidRPr="006C189C" w14:paraId="59047A9C" w14:textId="77777777" w:rsidTr="00FF1647">
        <w:tc>
          <w:tcPr>
            <w:tcW w:w="715" w:type="dxa"/>
          </w:tcPr>
          <w:p w14:paraId="37E9D5D5" w14:textId="768B9659" w:rsidR="00F2085D" w:rsidRDefault="00F2085D" w:rsidP="00A26A47">
            <w:pPr>
              <w:spacing w:before="80" w:after="80"/>
              <w:jc w:val="right"/>
              <w:rPr>
                <w:rFonts w:ascii="Times New Roman" w:hAnsi="Times New Roman" w:cs="Times New Roman"/>
              </w:rPr>
            </w:pPr>
            <w:r>
              <w:rPr>
                <w:rFonts w:ascii="Times New Roman" w:hAnsi="Times New Roman" w:cs="Times New Roman"/>
              </w:rPr>
              <w:t>12.8</w:t>
            </w:r>
          </w:p>
        </w:tc>
        <w:tc>
          <w:tcPr>
            <w:tcW w:w="7830" w:type="dxa"/>
            <w:vAlign w:val="center"/>
          </w:tcPr>
          <w:p w14:paraId="20BD2A7E" w14:textId="7C1B20B9" w:rsidR="00F2085D" w:rsidRPr="002A1724" w:rsidRDefault="00F2085D" w:rsidP="00A26A47">
            <w:pPr>
              <w:pStyle w:val="Bullet1"/>
            </w:pPr>
            <w:r w:rsidRPr="002A1724">
              <w:t>To realize on all securities in any order. Rights and remedies set out in the mortgage are cumulative and additional to any other remedies.</w:t>
            </w:r>
          </w:p>
        </w:tc>
        <w:tc>
          <w:tcPr>
            <w:tcW w:w="810" w:type="dxa"/>
            <w:vAlign w:val="center"/>
          </w:tcPr>
          <w:p w14:paraId="1413DCA6" w14:textId="4D005916" w:rsidR="00F2085D" w:rsidRPr="006C189C" w:rsidRDefault="00F2085D" w:rsidP="00A26A47">
            <w:pPr>
              <w:pStyle w:val="Bullet1"/>
              <w:ind w:left="-104"/>
              <w:jc w:val="center"/>
            </w:pPr>
            <w:r w:rsidRPr="00437BB1">
              <w:rPr>
                <w:sz w:val="40"/>
                <w:szCs w:val="40"/>
              </w:rPr>
              <w:sym w:font="Wingdings 2" w:char="F0A3"/>
            </w:r>
          </w:p>
        </w:tc>
      </w:tr>
    </w:tbl>
    <w:p w14:paraId="15B8DB42"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15"/>
        <w:gridCol w:w="7830"/>
        <w:gridCol w:w="810"/>
      </w:tblGrid>
      <w:tr w:rsidR="00D00779" w:rsidRPr="006C189C" w14:paraId="1D5EB245" w14:textId="77777777" w:rsidTr="00FF1647">
        <w:tc>
          <w:tcPr>
            <w:tcW w:w="715" w:type="dxa"/>
            <w:shd w:val="clear" w:color="auto" w:fill="D9E2F3" w:themeFill="accent1" w:themeFillTint="33"/>
          </w:tcPr>
          <w:p w14:paraId="6FC0355C" w14:textId="4825D69D" w:rsidR="00D00779" w:rsidRPr="0024237C" w:rsidRDefault="00426173" w:rsidP="00A26A47">
            <w:pPr>
              <w:spacing w:before="80" w:after="80"/>
              <w:jc w:val="right"/>
              <w:rPr>
                <w:rFonts w:ascii="Times New Roman" w:hAnsi="Times New Roman" w:cs="Times New Roman"/>
                <w:b/>
              </w:rPr>
            </w:pPr>
            <w:r>
              <w:rPr>
                <w:rFonts w:ascii="Times New Roman" w:hAnsi="Times New Roman" w:cs="Times New Roman"/>
                <w:b/>
              </w:rPr>
              <w:t>13</w:t>
            </w:r>
            <w:r w:rsidR="00D00779">
              <w:rPr>
                <w:rFonts w:ascii="Times New Roman" w:hAnsi="Times New Roman" w:cs="Times New Roman"/>
                <w:b/>
              </w:rPr>
              <w:t>.</w:t>
            </w:r>
          </w:p>
        </w:tc>
        <w:tc>
          <w:tcPr>
            <w:tcW w:w="8640" w:type="dxa"/>
            <w:gridSpan w:val="2"/>
            <w:shd w:val="clear" w:color="auto" w:fill="D9E2F3" w:themeFill="accent1" w:themeFillTint="33"/>
            <w:vAlign w:val="center"/>
          </w:tcPr>
          <w:p w14:paraId="3BCC0814" w14:textId="123E277D" w:rsidR="00D00779" w:rsidRPr="006C189C" w:rsidRDefault="00426173" w:rsidP="00A26A47">
            <w:pPr>
              <w:pStyle w:val="Heading1"/>
              <w:spacing w:before="80" w:after="80"/>
              <w:outlineLvl w:val="0"/>
            </w:pPr>
            <w:r w:rsidRPr="002A1724">
              <w:t>SECURITY PROVISIONS</w:t>
            </w:r>
          </w:p>
        </w:tc>
      </w:tr>
      <w:tr w:rsidR="00D00779" w:rsidRPr="006C189C" w14:paraId="52DB3FAE" w14:textId="77777777" w:rsidTr="00FF1647">
        <w:tc>
          <w:tcPr>
            <w:tcW w:w="715" w:type="dxa"/>
          </w:tcPr>
          <w:p w14:paraId="54E9D416" w14:textId="0AE23E12" w:rsidR="00D00779" w:rsidRPr="006C189C" w:rsidRDefault="00426173" w:rsidP="00A26A47">
            <w:pPr>
              <w:spacing w:before="80" w:after="80"/>
              <w:jc w:val="right"/>
              <w:rPr>
                <w:rFonts w:ascii="Times New Roman" w:hAnsi="Times New Roman" w:cs="Times New Roman"/>
              </w:rPr>
            </w:pPr>
            <w:r>
              <w:rPr>
                <w:rFonts w:ascii="Times New Roman" w:hAnsi="Times New Roman" w:cs="Times New Roman"/>
              </w:rPr>
              <w:t>13</w:t>
            </w:r>
            <w:r w:rsidR="00D00779">
              <w:rPr>
                <w:rFonts w:ascii="Times New Roman" w:hAnsi="Times New Roman" w:cs="Times New Roman"/>
              </w:rPr>
              <w:t>.1</w:t>
            </w:r>
          </w:p>
        </w:tc>
        <w:tc>
          <w:tcPr>
            <w:tcW w:w="7830" w:type="dxa"/>
            <w:vAlign w:val="center"/>
          </w:tcPr>
          <w:p w14:paraId="297A33B9" w14:textId="42804848" w:rsidR="00D00779" w:rsidRPr="006C189C" w:rsidRDefault="00426173" w:rsidP="00A26A47">
            <w:pPr>
              <w:pStyle w:val="Bullet1"/>
            </w:pPr>
            <w:r w:rsidRPr="002A1724">
              <w:t>Security is additional to any other security held by the lender. No merger.</w:t>
            </w:r>
          </w:p>
        </w:tc>
        <w:tc>
          <w:tcPr>
            <w:tcW w:w="810" w:type="dxa"/>
            <w:vAlign w:val="center"/>
          </w:tcPr>
          <w:p w14:paraId="501F10FB"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691A426F" w14:textId="77777777" w:rsidTr="00FF1647">
        <w:tc>
          <w:tcPr>
            <w:tcW w:w="715" w:type="dxa"/>
          </w:tcPr>
          <w:p w14:paraId="4026CF87" w14:textId="3F12B8C3" w:rsidR="00D00779" w:rsidRDefault="00426173" w:rsidP="00A26A47">
            <w:pPr>
              <w:spacing w:before="80" w:after="80"/>
              <w:jc w:val="right"/>
              <w:rPr>
                <w:rFonts w:ascii="Times New Roman" w:hAnsi="Times New Roman" w:cs="Times New Roman"/>
              </w:rPr>
            </w:pPr>
            <w:r>
              <w:rPr>
                <w:rFonts w:ascii="Times New Roman" w:hAnsi="Times New Roman" w:cs="Times New Roman"/>
              </w:rPr>
              <w:t>13</w:t>
            </w:r>
            <w:r w:rsidR="00D00779">
              <w:rPr>
                <w:rFonts w:ascii="Times New Roman" w:hAnsi="Times New Roman" w:cs="Times New Roman"/>
              </w:rPr>
              <w:t>.2</w:t>
            </w:r>
          </w:p>
        </w:tc>
        <w:tc>
          <w:tcPr>
            <w:tcW w:w="7830" w:type="dxa"/>
            <w:vAlign w:val="center"/>
          </w:tcPr>
          <w:p w14:paraId="2BF4354D" w14:textId="2CFC5504" w:rsidR="00D00779" w:rsidRPr="002A1724" w:rsidRDefault="00426173" w:rsidP="00A26A47">
            <w:pPr>
              <w:pStyle w:val="Bullet1"/>
            </w:pPr>
            <w:r w:rsidRPr="002A1724">
              <w:t>Obligation to pay is not extinguished by a judgment.</w:t>
            </w:r>
          </w:p>
        </w:tc>
        <w:tc>
          <w:tcPr>
            <w:tcW w:w="810" w:type="dxa"/>
            <w:vAlign w:val="center"/>
          </w:tcPr>
          <w:p w14:paraId="52AD9AD8" w14:textId="77777777" w:rsidR="00D00779" w:rsidRPr="006C189C" w:rsidRDefault="00D00779" w:rsidP="00A26A47">
            <w:pPr>
              <w:pStyle w:val="Bullet1"/>
              <w:ind w:left="-104"/>
              <w:jc w:val="center"/>
            </w:pPr>
            <w:r w:rsidRPr="00437BB1">
              <w:rPr>
                <w:sz w:val="40"/>
                <w:szCs w:val="40"/>
              </w:rPr>
              <w:sym w:font="Wingdings 2" w:char="F0A3"/>
            </w:r>
          </w:p>
        </w:tc>
      </w:tr>
    </w:tbl>
    <w:p w14:paraId="3554C008" w14:textId="4EB33EA2" w:rsidR="00AB07A3" w:rsidRDefault="00AB07A3"/>
    <w:tbl>
      <w:tblPr>
        <w:tblStyle w:val="TableGrid"/>
        <w:tblW w:w="0" w:type="auto"/>
        <w:tblLayout w:type="fixed"/>
        <w:tblLook w:val="04A0" w:firstRow="1" w:lastRow="0" w:firstColumn="1" w:lastColumn="0" w:noHBand="0" w:noVBand="1"/>
      </w:tblPr>
      <w:tblGrid>
        <w:gridCol w:w="711"/>
        <w:gridCol w:w="7822"/>
        <w:gridCol w:w="822"/>
      </w:tblGrid>
      <w:tr w:rsidR="00D00779" w:rsidRPr="006C189C" w14:paraId="65E47C38" w14:textId="77777777" w:rsidTr="00FF1647">
        <w:tc>
          <w:tcPr>
            <w:tcW w:w="711" w:type="dxa"/>
            <w:shd w:val="clear" w:color="auto" w:fill="D9E2F3" w:themeFill="accent1" w:themeFillTint="33"/>
          </w:tcPr>
          <w:p w14:paraId="4438ECAD" w14:textId="16FE5021" w:rsidR="00D00779" w:rsidRPr="0024237C" w:rsidRDefault="00426173" w:rsidP="00A26A47">
            <w:pPr>
              <w:spacing w:before="80" w:after="80"/>
              <w:jc w:val="right"/>
              <w:rPr>
                <w:rFonts w:ascii="Times New Roman" w:hAnsi="Times New Roman" w:cs="Times New Roman"/>
                <w:b/>
              </w:rPr>
            </w:pPr>
            <w:r>
              <w:rPr>
                <w:rFonts w:ascii="Times New Roman" w:hAnsi="Times New Roman" w:cs="Times New Roman"/>
                <w:b/>
              </w:rPr>
              <w:t>1</w:t>
            </w:r>
            <w:r w:rsidR="00D00779">
              <w:rPr>
                <w:rFonts w:ascii="Times New Roman" w:hAnsi="Times New Roman" w:cs="Times New Roman"/>
                <w:b/>
              </w:rPr>
              <w:t>4.</w:t>
            </w:r>
          </w:p>
        </w:tc>
        <w:tc>
          <w:tcPr>
            <w:tcW w:w="8644" w:type="dxa"/>
            <w:gridSpan w:val="2"/>
            <w:shd w:val="clear" w:color="auto" w:fill="D9E2F3" w:themeFill="accent1" w:themeFillTint="33"/>
            <w:vAlign w:val="center"/>
          </w:tcPr>
          <w:p w14:paraId="56DC8B9A" w14:textId="43D9F3DD" w:rsidR="00D00779" w:rsidRPr="006C189C" w:rsidRDefault="00426173" w:rsidP="00A26A47">
            <w:pPr>
              <w:pStyle w:val="Heading1"/>
              <w:spacing w:before="80" w:after="80"/>
              <w:outlineLvl w:val="0"/>
            </w:pPr>
            <w:r w:rsidRPr="002A1724">
              <w:t>MISCELLANEOUS</w:t>
            </w:r>
          </w:p>
        </w:tc>
      </w:tr>
      <w:tr w:rsidR="00D00779" w:rsidRPr="006C189C" w14:paraId="62A34BCF" w14:textId="77777777" w:rsidTr="00FF1647">
        <w:tc>
          <w:tcPr>
            <w:tcW w:w="711" w:type="dxa"/>
          </w:tcPr>
          <w:p w14:paraId="097E520E" w14:textId="6EA47EAB" w:rsidR="00D00779" w:rsidRPr="006C189C" w:rsidRDefault="00426173" w:rsidP="00A26A47">
            <w:pPr>
              <w:spacing w:before="80" w:after="80"/>
              <w:jc w:val="right"/>
              <w:rPr>
                <w:rFonts w:ascii="Times New Roman" w:hAnsi="Times New Roman" w:cs="Times New Roman"/>
              </w:rPr>
            </w:pPr>
            <w:r>
              <w:rPr>
                <w:rFonts w:ascii="Times New Roman" w:hAnsi="Times New Roman" w:cs="Times New Roman"/>
              </w:rPr>
              <w:t>1</w:t>
            </w:r>
            <w:r w:rsidR="00D00779">
              <w:rPr>
                <w:rFonts w:ascii="Times New Roman" w:hAnsi="Times New Roman" w:cs="Times New Roman"/>
              </w:rPr>
              <w:t>4.1</w:t>
            </w:r>
          </w:p>
        </w:tc>
        <w:tc>
          <w:tcPr>
            <w:tcW w:w="7822" w:type="dxa"/>
            <w:vAlign w:val="center"/>
          </w:tcPr>
          <w:p w14:paraId="4E1E912B" w14:textId="56CEC977" w:rsidR="00D00779" w:rsidRPr="006C189C" w:rsidRDefault="00426173" w:rsidP="00A26A47">
            <w:pPr>
              <w:pStyle w:val="Bullet1"/>
            </w:pPr>
            <w:r w:rsidRPr="002A1724">
              <w:t>Lender has no obligation to advance monies.</w:t>
            </w:r>
          </w:p>
        </w:tc>
        <w:tc>
          <w:tcPr>
            <w:tcW w:w="822" w:type="dxa"/>
            <w:vAlign w:val="center"/>
          </w:tcPr>
          <w:p w14:paraId="05B3ED4D"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021EB157" w14:textId="77777777" w:rsidTr="00FF1647">
        <w:tc>
          <w:tcPr>
            <w:tcW w:w="711" w:type="dxa"/>
          </w:tcPr>
          <w:p w14:paraId="2DA01DD1" w14:textId="379C46EE" w:rsidR="00D00779" w:rsidRDefault="00426173" w:rsidP="00A26A47">
            <w:pPr>
              <w:spacing w:before="80" w:after="80"/>
              <w:jc w:val="right"/>
              <w:rPr>
                <w:rFonts w:ascii="Times New Roman" w:hAnsi="Times New Roman" w:cs="Times New Roman"/>
              </w:rPr>
            </w:pPr>
            <w:r>
              <w:rPr>
                <w:rFonts w:ascii="Times New Roman" w:hAnsi="Times New Roman" w:cs="Times New Roman"/>
              </w:rPr>
              <w:t>1</w:t>
            </w:r>
            <w:r w:rsidR="00D00779">
              <w:rPr>
                <w:rFonts w:ascii="Times New Roman" w:hAnsi="Times New Roman" w:cs="Times New Roman"/>
              </w:rPr>
              <w:t>4.2</w:t>
            </w:r>
          </w:p>
        </w:tc>
        <w:tc>
          <w:tcPr>
            <w:tcW w:w="7822" w:type="dxa"/>
            <w:vAlign w:val="center"/>
          </w:tcPr>
          <w:p w14:paraId="72A497B1" w14:textId="6459F6B1" w:rsidR="00D00779" w:rsidRPr="002A1724" w:rsidRDefault="00426173" w:rsidP="00A26A47">
            <w:pPr>
              <w:pStyle w:val="Bullet1"/>
            </w:pPr>
            <w:r w:rsidRPr="002A1724">
              <w:t>Conditions to be satisfied for redemption.</w:t>
            </w:r>
          </w:p>
        </w:tc>
        <w:tc>
          <w:tcPr>
            <w:tcW w:w="822" w:type="dxa"/>
            <w:vAlign w:val="center"/>
          </w:tcPr>
          <w:p w14:paraId="2F5C470E" w14:textId="56B964F1" w:rsidR="00D00779" w:rsidRPr="006C189C" w:rsidRDefault="00426173" w:rsidP="00A26A47">
            <w:pPr>
              <w:pStyle w:val="Bullet1"/>
              <w:ind w:left="-104"/>
              <w:jc w:val="center"/>
            </w:pPr>
            <w:r w:rsidRPr="00437BB1">
              <w:rPr>
                <w:sz w:val="40"/>
                <w:szCs w:val="40"/>
              </w:rPr>
              <w:sym w:font="Wingdings 2" w:char="F0A3"/>
            </w:r>
          </w:p>
        </w:tc>
      </w:tr>
      <w:tr w:rsidR="00426173" w:rsidRPr="006C189C" w14:paraId="670301F2" w14:textId="77777777" w:rsidTr="00FF1647">
        <w:tc>
          <w:tcPr>
            <w:tcW w:w="711" w:type="dxa"/>
          </w:tcPr>
          <w:p w14:paraId="14ABB999" w14:textId="29C4E31E" w:rsidR="00426173" w:rsidRDefault="00426173" w:rsidP="00A26A47">
            <w:pPr>
              <w:spacing w:before="80" w:after="80"/>
              <w:jc w:val="right"/>
              <w:rPr>
                <w:rFonts w:ascii="Times New Roman" w:hAnsi="Times New Roman" w:cs="Times New Roman"/>
              </w:rPr>
            </w:pPr>
            <w:r>
              <w:rPr>
                <w:rFonts w:ascii="Times New Roman" w:hAnsi="Times New Roman" w:cs="Times New Roman"/>
              </w:rPr>
              <w:lastRenderedPageBreak/>
              <w:t>14.3</w:t>
            </w:r>
          </w:p>
        </w:tc>
        <w:tc>
          <w:tcPr>
            <w:tcW w:w="7822" w:type="dxa"/>
            <w:vAlign w:val="center"/>
          </w:tcPr>
          <w:p w14:paraId="1AFBD47D" w14:textId="3AC6275C" w:rsidR="00426173" w:rsidRPr="002A1724" w:rsidRDefault="00426173" w:rsidP="00A26A47">
            <w:pPr>
              <w:pStyle w:val="Bullet1"/>
            </w:pPr>
            <w:r w:rsidRPr="002A1724">
              <w:t>Right to assign. Assignees are bound by the provisions of this mortgage.</w:t>
            </w:r>
          </w:p>
        </w:tc>
        <w:tc>
          <w:tcPr>
            <w:tcW w:w="822" w:type="dxa"/>
            <w:vAlign w:val="center"/>
          </w:tcPr>
          <w:p w14:paraId="4A1371D6" w14:textId="15A4E5C0" w:rsidR="00426173" w:rsidRPr="006C189C" w:rsidRDefault="00426173" w:rsidP="00A26A47">
            <w:pPr>
              <w:pStyle w:val="Bullet1"/>
              <w:ind w:left="-104"/>
              <w:jc w:val="center"/>
            </w:pPr>
            <w:r w:rsidRPr="00437BB1">
              <w:rPr>
                <w:sz w:val="40"/>
                <w:szCs w:val="40"/>
              </w:rPr>
              <w:sym w:font="Wingdings 2" w:char="F0A3"/>
            </w:r>
          </w:p>
        </w:tc>
      </w:tr>
      <w:tr w:rsidR="00426173" w:rsidRPr="006C189C" w14:paraId="13508AA1" w14:textId="77777777" w:rsidTr="00FF1647">
        <w:tc>
          <w:tcPr>
            <w:tcW w:w="711" w:type="dxa"/>
          </w:tcPr>
          <w:p w14:paraId="7D741C34" w14:textId="6E24D2DC" w:rsidR="00426173" w:rsidRDefault="00426173" w:rsidP="00A26A47">
            <w:pPr>
              <w:spacing w:before="80" w:after="80"/>
              <w:jc w:val="right"/>
              <w:rPr>
                <w:rFonts w:ascii="Times New Roman" w:hAnsi="Times New Roman" w:cs="Times New Roman"/>
              </w:rPr>
            </w:pPr>
            <w:r>
              <w:rPr>
                <w:rFonts w:ascii="Times New Roman" w:hAnsi="Times New Roman" w:cs="Times New Roman"/>
              </w:rPr>
              <w:t>14.4</w:t>
            </w:r>
          </w:p>
        </w:tc>
        <w:tc>
          <w:tcPr>
            <w:tcW w:w="7822" w:type="dxa"/>
            <w:vAlign w:val="center"/>
          </w:tcPr>
          <w:p w14:paraId="6A6B0208" w14:textId="3C39A54A" w:rsidR="00426173" w:rsidRPr="002A1724" w:rsidRDefault="00426173" w:rsidP="00A26A47">
            <w:pPr>
              <w:pStyle w:val="Bullet1"/>
            </w:pPr>
            <w:r w:rsidRPr="002A1724">
              <w:t>Relationship between commitment letter and mortgage (e.g., non-merger of commitment letter, with mortgage prevailing in the event of inconsistency).</w:t>
            </w:r>
          </w:p>
        </w:tc>
        <w:tc>
          <w:tcPr>
            <w:tcW w:w="822" w:type="dxa"/>
            <w:vAlign w:val="center"/>
          </w:tcPr>
          <w:p w14:paraId="2639D296" w14:textId="4C1AB1FD" w:rsidR="00426173" w:rsidRPr="006C189C" w:rsidRDefault="00426173" w:rsidP="00A26A47">
            <w:pPr>
              <w:pStyle w:val="Bullet1"/>
              <w:ind w:left="-104"/>
              <w:jc w:val="center"/>
            </w:pPr>
            <w:r w:rsidRPr="00437BB1">
              <w:rPr>
                <w:sz w:val="40"/>
                <w:szCs w:val="40"/>
              </w:rPr>
              <w:sym w:font="Wingdings 2" w:char="F0A3"/>
            </w:r>
          </w:p>
        </w:tc>
      </w:tr>
      <w:tr w:rsidR="00426173" w:rsidRPr="006C189C" w14:paraId="7AD19E78" w14:textId="77777777" w:rsidTr="00FF1647">
        <w:tc>
          <w:tcPr>
            <w:tcW w:w="711" w:type="dxa"/>
          </w:tcPr>
          <w:p w14:paraId="72BC830B" w14:textId="6F38B93A" w:rsidR="00426173" w:rsidRDefault="00426173" w:rsidP="00A26A47">
            <w:pPr>
              <w:spacing w:before="80" w:after="80"/>
              <w:jc w:val="right"/>
              <w:rPr>
                <w:rFonts w:ascii="Times New Roman" w:hAnsi="Times New Roman" w:cs="Times New Roman"/>
              </w:rPr>
            </w:pPr>
            <w:r>
              <w:rPr>
                <w:rFonts w:ascii="Times New Roman" w:hAnsi="Times New Roman" w:cs="Times New Roman"/>
              </w:rPr>
              <w:t>14.5</w:t>
            </w:r>
          </w:p>
        </w:tc>
        <w:tc>
          <w:tcPr>
            <w:tcW w:w="7822" w:type="dxa"/>
            <w:vAlign w:val="center"/>
          </w:tcPr>
          <w:p w14:paraId="44FC394D" w14:textId="0308FFC3" w:rsidR="00426173" w:rsidRPr="002A1724" w:rsidRDefault="00426173" w:rsidP="00A26A47">
            <w:pPr>
              <w:pStyle w:val="Bullet1"/>
            </w:pPr>
            <w:r w:rsidRPr="002A1724">
              <w:t>Renewal provisions; for example:</w:t>
            </w:r>
          </w:p>
        </w:tc>
        <w:tc>
          <w:tcPr>
            <w:tcW w:w="822" w:type="dxa"/>
            <w:vAlign w:val="center"/>
          </w:tcPr>
          <w:p w14:paraId="1B2F2600" w14:textId="7F794841" w:rsidR="00426173" w:rsidRPr="006C189C" w:rsidRDefault="00426173" w:rsidP="00A26A47">
            <w:pPr>
              <w:pStyle w:val="Bullet1"/>
              <w:ind w:left="-104"/>
              <w:jc w:val="center"/>
            </w:pPr>
            <w:r w:rsidRPr="00437BB1">
              <w:rPr>
                <w:sz w:val="40"/>
                <w:szCs w:val="40"/>
              </w:rPr>
              <w:sym w:font="Wingdings 2" w:char="F0A3"/>
            </w:r>
          </w:p>
        </w:tc>
      </w:tr>
      <w:tr w:rsidR="00426173" w:rsidRPr="006C189C" w14:paraId="014CBAD8" w14:textId="77777777" w:rsidTr="00FF1647">
        <w:tc>
          <w:tcPr>
            <w:tcW w:w="711" w:type="dxa"/>
          </w:tcPr>
          <w:p w14:paraId="19C0F5EB" w14:textId="77777777" w:rsidR="00426173" w:rsidRDefault="00426173" w:rsidP="00A26A47">
            <w:pPr>
              <w:spacing w:before="80" w:after="80"/>
              <w:jc w:val="right"/>
              <w:rPr>
                <w:rFonts w:ascii="Times New Roman" w:hAnsi="Times New Roman" w:cs="Times New Roman"/>
              </w:rPr>
            </w:pPr>
          </w:p>
        </w:tc>
        <w:tc>
          <w:tcPr>
            <w:tcW w:w="7822" w:type="dxa"/>
            <w:vAlign w:val="center"/>
          </w:tcPr>
          <w:p w14:paraId="1AA6FB36" w14:textId="405C188E" w:rsidR="00426173" w:rsidRPr="002A1724" w:rsidRDefault="00426173" w:rsidP="001821D1">
            <w:pPr>
              <w:pStyle w:val="Bullet2"/>
              <w:ind w:hanging="288"/>
            </w:pPr>
            <w:r>
              <w:t>.1</w:t>
            </w:r>
            <w:r w:rsidRPr="002A1724">
              <w:tab/>
              <w:t xml:space="preserve">Contracting out of </w:t>
            </w:r>
            <w:r w:rsidRPr="00426173">
              <w:rPr>
                <w:rStyle w:val="Italics"/>
                <w:rFonts w:ascii="Times New Roman" w:hAnsi="Times New Roman"/>
                <w:sz w:val="22"/>
              </w:rPr>
              <w:t>Interest Act</w:t>
            </w:r>
            <w:r w:rsidRPr="002A1724">
              <w:t>, s. 10.</w:t>
            </w:r>
          </w:p>
        </w:tc>
        <w:tc>
          <w:tcPr>
            <w:tcW w:w="822" w:type="dxa"/>
            <w:vAlign w:val="center"/>
          </w:tcPr>
          <w:p w14:paraId="12FFFAFF" w14:textId="77777777" w:rsidR="00426173" w:rsidRPr="006C189C" w:rsidRDefault="00426173" w:rsidP="00A26A47">
            <w:pPr>
              <w:pStyle w:val="Bullet1"/>
              <w:ind w:left="-104"/>
              <w:jc w:val="center"/>
            </w:pPr>
          </w:p>
        </w:tc>
      </w:tr>
      <w:tr w:rsidR="00426173" w:rsidRPr="006C189C" w14:paraId="0C03B781" w14:textId="77777777" w:rsidTr="00FF1647">
        <w:tc>
          <w:tcPr>
            <w:tcW w:w="711" w:type="dxa"/>
          </w:tcPr>
          <w:p w14:paraId="49C96816" w14:textId="77777777" w:rsidR="00426173" w:rsidRDefault="00426173" w:rsidP="00A26A47">
            <w:pPr>
              <w:spacing w:before="80" w:after="80"/>
              <w:jc w:val="right"/>
              <w:rPr>
                <w:rFonts w:ascii="Times New Roman" w:hAnsi="Times New Roman" w:cs="Times New Roman"/>
              </w:rPr>
            </w:pPr>
          </w:p>
        </w:tc>
        <w:tc>
          <w:tcPr>
            <w:tcW w:w="7822" w:type="dxa"/>
            <w:vAlign w:val="center"/>
          </w:tcPr>
          <w:p w14:paraId="4EAAEB82" w14:textId="5141C774" w:rsidR="00426173" w:rsidRDefault="00426173" w:rsidP="001821D1">
            <w:pPr>
              <w:pStyle w:val="Bullet2"/>
              <w:ind w:hanging="288"/>
            </w:pPr>
            <w:r>
              <w:t>.2</w:t>
            </w:r>
            <w:r w:rsidRPr="002A1724">
              <w:tab/>
              <w:t>Priority of any increased interest rate over the subsequent charges.</w:t>
            </w:r>
          </w:p>
        </w:tc>
        <w:tc>
          <w:tcPr>
            <w:tcW w:w="822" w:type="dxa"/>
            <w:vAlign w:val="center"/>
          </w:tcPr>
          <w:p w14:paraId="0E19BA10" w14:textId="77777777" w:rsidR="00426173" w:rsidRPr="006C189C" w:rsidRDefault="00426173" w:rsidP="00A26A47">
            <w:pPr>
              <w:pStyle w:val="Bullet1"/>
              <w:ind w:left="-104"/>
              <w:jc w:val="center"/>
            </w:pPr>
          </w:p>
        </w:tc>
      </w:tr>
      <w:tr w:rsidR="00426173" w:rsidRPr="006C189C" w14:paraId="3910833E" w14:textId="77777777" w:rsidTr="00FF1647">
        <w:tc>
          <w:tcPr>
            <w:tcW w:w="711" w:type="dxa"/>
          </w:tcPr>
          <w:p w14:paraId="41F2D9E6" w14:textId="2AB62921" w:rsidR="00426173" w:rsidRDefault="00426173" w:rsidP="00A26A47">
            <w:pPr>
              <w:spacing w:before="80" w:after="80"/>
              <w:jc w:val="right"/>
              <w:rPr>
                <w:rFonts w:ascii="Times New Roman" w:hAnsi="Times New Roman" w:cs="Times New Roman"/>
              </w:rPr>
            </w:pPr>
            <w:r>
              <w:rPr>
                <w:rFonts w:ascii="Times New Roman" w:hAnsi="Times New Roman" w:cs="Times New Roman"/>
              </w:rPr>
              <w:t>14.6</w:t>
            </w:r>
          </w:p>
        </w:tc>
        <w:tc>
          <w:tcPr>
            <w:tcW w:w="7822" w:type="dxa"/>
            <w:vAlign w:val="center"/>
          </w:tcPr>
          <w:p w14:paraId="1C9E11CA" w14:textId="2686CFD8" w:rsidR="00426173" w:rsidRDefault="00426173" w:rsidP="00426173">
            <w:pPr>
              <w:pStyle w:val="Bullet1"/>
            </w:pPr>
            <w:r w:rsidRPr="002A1724">
              <w:t>Strata lot clauses (</w:t>
            </w:r>
            <w:r w:rsidRPr="002A1724">
              <w:rPr>
                <w:i/>
              </w:rPr>
              <w:t>Strata Property Act</w:t>
            </w:r>
            <w:r w:rsidRPr="002A1724">
              <w:t>, S.B.C. 1998, c. 43, s. 54).</w:t>
            </w:r>
          </w:p>
        </w:tc>
        <w:tc>
          <w:tcPr>
            <w:tcW w:w="822" w:type="dxa"/>
            <w:vAlign w:val="center"/>
          </w:tcPr>
          <w:p w14:paraId="771D45ED" w14:textId="54E984AB" w:rsidR="00426173" w:rsidRPr="006C189C" w:rsidRDefault="00426173" w:rsidP="00A26A47">
            <w:pPr>
              <w:pStyle w:val="Bullet1"/>
              <w:ind w:left="-104"/>
              <w:jc w:val="center"/>
            </w:pPr>
            <w:r w:rsidRPr="00437BB1">
              <w:rPr>
                <w:sz w:val="40"/>
                <w:szCs w:val="40"/>
              </w:rPr>
              <w:sym w:font="Wingdings 2" w:char="F0A3"/>
            </w:r>
          </w:p>
        </w:tc>
      </w:tr>
      <w:tr w:rsidR="00426173" w:rsidRPr="006C189C" w14:paraId="4580F653" w14:textId="77777777" w:rsidTr="00FF1647">
        <w:tc>
          <w:tcPr>
            <w:tcW w:w="711" w:type="dxa"/>
          </w:tcPr>
          <w:p w14:paraId="52DC4459" w14:textId="5C1AF5CE" w:rsidR="00426173" w:rsidRDefault="00426173" w:rsidP="00A26A47">
            <w:pPr>
              <w:spacing w:before="80" w:after="80"/>
              <w:jc w:val="right"/>
              <w:rPr>
                <w:rFonts w:ascii="Times New Roman" w:hAnsi="Times New Roman" w:cs="Times New Roman"/>
              </w:rPr>
            </w:pPr>
            <w:r>
              <w:rPr>
                <w:rFonts w:ascii="Times New Roman" w:hAnsi="Times New Roman" w:cs="Times New Roman"/>
              </w:rPr>
              <w:t>14.7</w:t>
            </w:r>
          </w:p>
        </w:tc>
        <w:tc>
          <w:tcPr>
            <w:tcW w:w="7822" w:type="dxa"/>
            <w:vAlign w:val="center"/>
          </w:tcPr>
          <w:p w14:paraId="6736FC39" w14:textId="29005122" w:rsidR="00426173" w:rsidRDefault="00426173" w:rsidP="00426173">
            <w:pPr>
              <w:pStyle w:val="Bullet1"/>
            </w:pPr>
            <w:r w:rsidRPr="002A1724">
              <w:t>Subdivision clauses.</w:t>
            </w:r>
          </w:p>
        </w:tc>
        <w:tc>
          <w:tcPr>
            <w:tcW w:w="822" w:type="dxa"/>
            <w:vAlign w:val="center"/>
          </w:tcPr>
          <w:p w14:paraId="4376F425" w14:textId="19AF59C8" w:rsidR="00426173" w:rsidRPr="006C189C" w:rsidRDefault="00426173" w:rsidP="00A26A47">
            <w:pPr>
              <w:pStyle w:val="Bullet1"/>
              <w:ind w:left="-104"/>
              <w:jc w:val="center"/>
            </w:pPr>
            <w:r w:rsidRPr="00437BB1">
              <w:rPr>
                <w:sz w:val="40"/>
                <w:szCs w:val="40"/>
              </w:rPr>
              <w:sym w:font="Wingdings 2" w:char="F0A3"/>
            </w:r>
          </w:p>
        </w:tc>
      </w:tr>
      <w:tr w:rsidR="00426173" w:rsidRPr="006C189C" w14:paraId="5CE542C5" w14:textId="77777777" w:rsidTr="00FF1647">
        <w:tc>
          <w:tcPr>
            <w:tcW w:w="711" w:type="dxa"/>
          </w:tcPr>
          <w:p w14:paraId="4974021F" w14:textId="60740190" w:rsidR="00426173" w:rsidRDefault="00426173" w:rsidP="00A26A47">
            <w:pPr>
              <w:spacing w:before="80" w:after="80"/>
              <w:jc w:val="right"/>
              <w:rPr>
                <w:rFonts w:ascii="Times New Roman" w:hAnsi="Times New Roman" w:cs="Times New Roman"/>
              </w:rPr>
            </w:pPr>
            <w:r>
              <w:rPr>
                <w:rFonts w:ascii="Times New Roman" w:hAnsi="Times New Roman" w:cs="Times New Roman"/>
              </w:rPr>
              <w:t>14.8</w:t>
            </w:r>
          </w:p>
        </w:tc>
        <w:tc>
          <w:tcPr>
            <w:tcW w:w="7822" w:type="dxa"/>
            <w:vAlign w:val="center"/>
          </w:tcPr>
          <w:p w14:paraId="02824D56" w14:textId="51C373AD" w:rsidR="00426173" w:rsidRDefault="00426173" w:rsidP="00426173">
            <w:pPr>
              <w:pStyle w:val="Bullet1"/>
            </w:pPr>
            <w:r w:rsidRPr="002A1724">
              <w:t>In event of default, lender has no right to choose the registry in which to commence action (</w:t>
            </w:r>
            <w:r w:rsidRPr="00426173">
              <w:rPr>
                <w:rStyle w:val="Italics"/>
                <w:rFonts w:ascii="Times New Roman" w:hAnsi="Times New Roman"/>
                <w:sz w:val="22"/>
              </w:rPr>
              <w:t>Law and Equity Act</w:t>
            </w:r>
            <w:r w:rsidRPr="002A1724">
              <w:t>, s. 21).</w:t>
            </w:r>
          </w:p>
        </w:tc>
        <w:tc>
          <w:tcPr>
            <w:tcW w:w="822" w:type="dxa"/>
            <w:vAlign w:val="center"/>
          </w:tcPr>
          <w:p w14:paraId="5BDD8933" w14:textId="2B0B3894" w:rsidR="00426173" w:rsidRPr="006C189C" w:rsidRDefault="00426173" w:rsidP="00A26A47">
            <w:pPr>
              <w:pStyle w:val="Bullet1"/>
              <w:ind w:left="-104"/>
              <w:jc w:val="center"/>
            </w:pPr>
            <w:r w:rsidRPr="00437BB1">
              <w:rPr>
                <w:sz w:val="40"/>
                <w:szCs w:val="40"/>
              </w:rPr>
              <w:sym w:font="Wingdings 2" w:char="F0A3"/>
            </w:r>
          </w:p>
        </w:tc>
      </w:tr>
      <w:tr w:rsidR="00426173" w:rsidRPr="006C189C" w14:paraId="36EDBE27" w14:textId="77777777" w:rsidTr="00FF1647">
        <w:tc>
          <w:tcPr>
            <w:tcW w:w="711" w:type="dxa"/>
          </w:tcPr>
          <w:p w14:paraId="5FD893BC" w14:textId="1BCA0D73" w:rsidR="00426173" w:rsidRDefault="00426173" w:rsidP="00A26A47">
            <w:pPr>
              <w:spacing w:before="80" w:after="80"/>
              <w:jc w:val="right"/>
              <w:rPr>
                <w:rFonts w:ascii="Times New Roman" w:hAnsi="Times New Roman" w:cs="Times New Roman"/>
              </w:rPr>
            </w:pPr>
            <w:r>
              <w:rPr>
                <w:rFonts w:ascii="Times New Roman" w:hAnsi="Times New Roman" w:cs="Times New Roman"/>
              </w:rPr>
              <w:t>14.9</w:t>
            </w:r>
          </w:p>
        </w:tc>
        <w:tc>
          <w:tcPr>
            <w:tcW w:w="7822" w:type="dxa"/>
            <w:vAlign w:val="center"/>
          </w:tcPr>
          <w:p w14:paraId="12A88A10" w14:textId="6032CCC6" w:rsidR="00426173" w:rsidRDefault="00426173" w:rsidP="00426173">
            <w:pPr>
              <w:pStyle w:val="Bullet1"/>
            </w:pPr>
            <w:r w:rsidRPr="002A1724">
              <w:t>Doctrine of consolidation applies or is waived (</w:t>
            </w:r>
            <w:r w:rsidRPr="00426173">
              <w:rPr>
                <w:rStyle w:val="Italics"/>
                <w:rFonts w:ascii="Times New Roman" w:hAnsi="Times New Roman"/>
                <w:sz w:val="22"/>
              </w:rPr>
              <w:t>Property Law Act</w:t>
            </w:r>
            <w:r w:rsidRPr="002A1724">
              <w:t>, s. 31(2)).</w:t>
            </w:r>
          </w:p>
        </w:tc>
        <w:tc>
          <w:tcPr>
            <w:tcW w:w="822" w:type="dxa"/>
            <w:vAlign w:val="center"/>
          </w:tcPr>
          <w:p w14:paraId="66C53777" w14:textId="241FE8F0" w:rsidR="00426173" w:rsidRPr="006C189C" w:rsidRDefault="00426173" w:rsidP="00A26A47">
            <w:pPr>
              <w:pStyle w:val="Bullet1"/>
              <w:ind w:left="-104"/>
              <w:jc w:val="center"/>
            </w:pPr>
            <w:r w:rsidRPr="00437BB1">
              <w:rPr>
                <w:sz w:val="40"/>
                <w:szCs w:val="40"/>
              </w:rPr>
              <w:sym w:font="Wingdings 2" w:char="F0A3"/>
            </w:r>
          </w:p>
        </w:tc>
      </w:tr>
      <w:tr w:rsidR="00426173" w:rsidRPr="006C189C" w14:paraId="3253B646" w14:textId="77777777" w:rsidTr="00FF1647">
        <w:tc>
          <w:tcPr>
            <w:tcW w:w="711" w:type="dxa"/>
          </w:tcPr>
          <w:p w14:paraId="036ADC4A" w14:textId="56102804" w:rsidR="00426173" w:rsidRDefault="00426173" w:rsidP="00A26A47">
            <w:pPr>
              <w:spacing w:before="80" w:after="80"/>
              <w:jc w:val="right"/>
              <w:rPr>
                <w:rFonts w:ascii="Times New Roman" w:hAnsi="Times New Roman" w:cs="Times New Roman"/>
              </w:rPr>
            </w:pPr>
            <w:r>
              <w:rPr>
                <w:rFonts w:ascii="Times New Roman" w:hAnsi="Times New Roman" w:cs="Times New Roman"/>
              </w:rPr>
              <w:t>14.10</w:t>
            </w:r>
          </w:p>
        </w:tc>
        <w:tc>
          <w:tcPr>
            <w:tcW w:w="7822" w:type="dxa"/>
            <w:vAlign w:val="center"/>
          </w:tcPr>
          <w:p w14:paraId="3591AA99" w14:textId="092D1091" w:rsidR="00426173" w:rsidRDefault="00426173" w:rsidP="00426173">
            <w:pPr>
              <w:pStyle w:val="Bullet1"/>
            </w:pPr>
            <w:r w:rsidRPr="002A1724">
              <w:t>Guarantor’s or covenantor’s clause.</w:t>
            </w:r>
          </w:p>
        </w:tc>
        <w:tc>
          <w:tcPr>
            <w:tcW w:w="822" w:type="dxa"/>
            <w:vAlign w:val="center"/>
          </w:tcPr>
          <w:p w14:paraId="304A6D66" w14:textId="6DC9DB2F" w:rsidR="00426173" w:rsidRPr="006C189C" w:rsidRDefault="00426173" w:rsidP="00A26A47">
            <w:pPr>
              <w:pStyle w:val="Bullet1"/>
              <w:ind w:left="-104"/>
              <w:jc w:val="center"/>
            </w:pPr>
            <w:r w:rsidRPr="00437BB1">
              <w:rPr>
                <w:sz w:val="40"/>
                <w:szCs w:val="40"/>
              </w:rPr>
              <w:sym w:font="Wingdings 2" w:char="F0A3"/>
            </w:r>
          </w:p>
        </w:tc>
      </w:tr>
      <w:tr w:rsidR="00426173" w:rsidRPr="006C189C" w14:paraId="73B298F5" w14:textId="77777777" w:rsidTr="00FF1647">
        <w:tc>
          <w:tcPr>
            <w:tcW w:w="711" w:type="dxa"/>
          </w:tcPr>
          <w:p w14:paraId="5D4ABEFB" w14:textId="5A844E6E" w:rsidR="00426173" w:rsidRDefault="00426173" w:rsidP="00A26A47">
            <w:pPr>
              <w:spacing w:before="80" w:after="80"/>
              <w:jc w:val="right"/>
              <w:rPr>
                <w:rFonts w:ascii="Times New Roman" w:hAnsi="Times New Roman" w:cs="Times New Roman"/>
              </w:rPr>
            </w:pPr>
            <w:r>
              <w:rPr>
                <w:rFonts w:ascii="Times New Roman" w:hAnsi="Times New Roman" w:cs="Times New Roman"/>
              </w:rPr>
              <w:t>14.11</w:t>
            </w:r>
          </w:p>
        </w:tc>
        <w:tc>
          <w:tcPr>
            <w:tcW w:w="7822" w:type="dxa"/>
            <w:vAlign w:val="center"/>
          </w:tcPr>
          <w:p w14:paraId="178D7A07" w14:textId="6CFEAE16" w:rsidR="00426173" w:rsidRDefault="00426173" w:rsidP="00426173">
            <w:pPr>
              <w:pStyle w:val="Bullet1"/>
            </w:pPr>
            <w:r w:rsidRPr="002A1724">
              <w:t>Assignment of rents clause.</w:t>
            </w:r>
          </w:p>
        </w:tc>
        <w:tc>
          <w:tcPr>
            <w:tcW w:w="822" w:type="dxa"/>
            <w:vAlign w:val="center"/>
          </w:tcPr>
          <w:p w14:paraId="298F2607" w14:textId="6D8E1924" w:rsidR="00426173" w:rsidRPr="006C189C" w:rsidRDefault="00426173" w:rsidP="00A26A47">
            <w:pPr>
              <w:pStyle w:val="Bullet1"/>
              <w:ind w:left="-104"/>
              <w:jc w:val="center"/>
            </w:pPr>
            <w:r w:rsidRPr="00437BB1">
              <w:rPr>
                <w:sz w:val="40"/>
                <w:szCs w:val="40"/>
              </w:rPr>
              <w:sym w:font="Wingdings 2" w:char="F0A3"/>
            </w:r>
          </w:p>
        </w:tc>
      </w:tr>
      <w:tr w:rsidR="00426173" w:rsidRPr="006C189C" w14:paraId="16785DBD" w14:textId="77777777" w:rsidTr="00FF1647">
        <w:tc>
          <w:tcPr>
            <w:tcW w:w="711" w:type="dxa"/>
          </w:tcPr>
          <w:p w14:paraId="6F1917CD" w14:textId="00260455" w:rsidR="00426173" w:rsidRDefault="00426173" w:rsidP="00A26A47">
            <w:pPr>
              <w:spacing w:before="80" w:after="80"/>
              <w:jc w:val="right"/>
              <w:rPr>
                <w:rFonts w:ascii="Times New Roman" w:hAnsi="Times New Roman" w:cs="Times New Roman"/>
              </w:rPr>
            </w:pPr>
            <w:r>
              <w:rPr>
                <w:rFonts w:ascii="Times New Roman" w:hAnsi="Times New Roman" w:cs="Times New Roman"/>
              </w:rPr>
              <w:t>14.12</w:t>
            </w:r>
          </w:p>
        </w:tc>
        <w:tc>
          <w:tcPr>
            <w:tcW w:w="7822" w:type="dxa"/>
            <w:vAlign w:val="center"/>
          </w:tcPr>
          <w:p w14:paraId="30B303B7" w14:textId="729B2E8C" w:rsidR="00426173" w:rsidRDefault="00426173" w:rsidP="00426173">
            <w:pPr>
              <w:pStyle w:val="Bullet1"/>
            </w:pPr>
            <w:r w:rsidRPr="002A1724">
              <w:t>Consider form required for e-filing (electronic Form B).</w:t>
            </w:r>
          </w:p>
        </w:tc>
        <w:tc>
          <w:tcPr>
            <w:tcW w:w="822" w:type="dxa"/>
            <w:vAlign w:val="center"/>
          </w:tcPr>
          <w:p w14:paraId="5EA26137" w14:textId="53FDE824" w:rsidR="00426173" w:rsidRPr="006C189C" w:rsidRDefault="00426173" w:rsidP="00A26A47">
            <w:pPr>
              <w:pStyle w:val="Bullet1"/>
              <w:ind w:left="-104"/>
              <w:jc w:val="center"/>
            </w:pPr>
            <w:r w:rsidRPr="00437BB1">
              <w:rPr>
                <w:sz w:val="40"/>
                <w:szCs w:val="40"/>
              </w:rPr>
              <w:sym w:font="Wingdings 2" w:char="F0A3"/>
            </w:r>
          </w:p>
        </w:tc>
      </w:tr>
    </w:tbl>
    <w:p w14:paraId="0D9E20FE" w14:textId="77777777" w:rsidR="00D00779" w:rsidRDefault="00D00779" w:rsidP="00D00779">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15"/>
        <w:gridCol w:w="7830"/>
        <w:gridCol w:w="810"/>
      </w:tblGrid>
      <w:tr w:rsidR="00D00779" w:rsidRPr="006C189C" w14:paraId="40250060" w14:textId="77777777" w:rsidTr="00FF1647">
        <w:tc>
          <w:tcPr>
            <w:tcW w:w="715" w:type="dxa"/>
            <w:shd w:val="clear" w:color="auto" w:fill="D9E2F3" w:themeFill="accent1" w:themeFillTint="33"/>
          </w:tcPr>
          <w:p w14:paraId="0664628E" w14:textId="77B50BB3" w:rsidR="00D00779" w:rsidRPr="0024237C" w:rsidRDefault="00426173" w:rsidP="00A26A47">
            <w:pPr>
              <w:spacing w:before="80" w:after="80"/>
              <w:jc w:val="right"/>
              <w:rPr>
                <w:rFonts w:ascii="Times New Roman" w:hAnsi="Times New Roman" w:cs="Times New Roman"/>
                <w:b/>
              </w:rPr>
            </w:pPr>
            <w:r>
              <w:rPr>
                <w:rFonts w:ascii="Times New Roman" w:hAnsi="Times New Roman" w:cs="Times New Roman"/>
                <w:b/>
              </w:rPr>
              <w:t>15</w:t>
            </w:r>
            <w:r w:rsidR="00D00779">
              <w:rPr>
                <w:rFonts w:ascii="Times New Roman" w:hAnsi="Times New Roman" w:cs="Times New Roman"/>
                <w:b/>
              </w:rPr>
              <w:t>.</w:t>
            </w:r>
          </w:p>
        </w:tc>
        <w:tc>
          <w:tcPr>
            <w:tcW w:w="8640" w:type="dxa"/>
            <w:gridSpan w:val="2"/>
            <w:shd w:val="clear" w:color="auto" w:fill="D9E2F3" w:themeFill="accent1" w:themeFillTint="33"/>
            <w:vAlign w:val="center"/>
          </w:tcPr>
          <w:p w14:paraId="5425907D" w14:textId="01D56AEC" w:rsidR="00D00779" w:rsidRPr="006C189C" w:rsidRDefault="00426173" w:rsidP="00A26A47">
            <w:pPr>
              <w:pStyle w:val="Heading1"/>
              <w:spacing w:before="80" w:after="80"/>
              <w:outlineLvl w:val="0"/>
            </w:pPr>
            <w:r w:rsidRPr="002A1724">
              <w:t>INTERPRETATION AND GENERAL PROVISIONS</w:t>
            </w:r>
          </w:p>
        </w:tc>
      </w:tr>
      <w:tr w:rsidR="00D00779" w:rsidRPr="006C189C" w14:paraId="7E20C385" w14:textId="77777777" w:rsidTr="00FF1647">
        <w:tc>
          <w:tcPr>
            <w:tcW w:w="715" w:type="dxa"/>
          </w:tcPr>
          <w:p w14:paraId="668C2B1B" w14:textId="285A7626" w:rsidR="00D00779" w:rsidRPr="006C189C" w:rsidRDefault="00426173" w:rsidP="00A26A47">
            <w:pPr>
              <w:spacing w:before="80" w:after="80"/>
              <w:jc w:val="right"/>
              <w:rPr>
                <w:rFonts w:ascii="Times New Roman" w:hAnsi="Times New Roman" w:cs="Times New Roman"/>
              </w:rPr>
            </w:pPr>
            <w:r>
              <w:rPr>
                <w:rFonts w:ascii="Times New Roman" w:hAnsi="Times New Roman" w:cs="Times New Roman"/>
              </w:rPr>
              <w:t>15</w:t>
            </w:r>
            <w:r w:rsidR="00D00779">
              <w:rPr>
                <w:rFonts w:ascii="Times New Roman" w:hAnsi="Times New Roman" w:cs="Times New Roman"/>
              </w:rPr>
              <w:t>.1</w:t>
            </w:r>
          </w:p>
        </w:tc>
        <w:tc>
          <w:tcPr>
            <w:tcW w:w="7830" w:type="dxa"/>
            <w:vAlign w:val="center"/>
          </w:tcPr>
          <w:p w14:paraId="2A5E888C" w14:textId="0A3B65DD" w:rsidR="00D00779" w:rsidRPr="006C189C" w:rsidRDefault="00426173" w:rsidP="00A26A47">
            <w:pPr>
              <w:pStyle w:val="Bullet1"/>
            </w:pPr>
            <w:r w:rsidRPr="002A1724">
              <w:t>Definitions.</w:t>
            </w:r>
          </w:p>
        </w:tc>
        <w:tc>
          <w:tcPr>
            <w:tcW w:w="810" w:type="dxa"/>
            <w:vAlign w:val="center"/>
          </w:tcPr>
          <w:p w14:paraId="07A91F41" w14:textId="77777777" w:rsidR="00D00779" w:rsidRPr="006C189C" w:rsidRDefault="00D00779" w:rsidP="00A26A47">
            <w:pPr>
              <w:pStyle w:val="Bullet1"/>
              <w:ind w:left="-104"/>
              <w:jc w:val="center"/>
            </w:pPr>
            <w:r w:rsidRPr="00437BB1">
              <w:rPr>
                <w:sz w:val="40"/>
                <w:szCs w:val="40"/>
              </w:rPr>
              <w:sym w:font="Wingdings 2" w:char="F0A3"/>
            </w:r>
          </w:p>
        </w:tc>
      </w:tr>
      <w:tr w:rsidR="00D00779" w:rsidRPr="006C189C" w14:paraId="4D49E47D" w14:textId="77777777" w:rsidTr="00FF1647">
        <w:tc>
          <w:tcPr>
            <w:tcW w:w="715" w:type="dxa"/>
          </w:tcPr>
          <w:p w14:paraId="49F9CD63" w14:textId="2B598E35" w:rsidR="00D00779" w:rsidRDefault="00426173" w:rsidP="00A26A47">
            <w:pPr>
              <w:spacing w:before="80" w:after="80"/>
              <w:jc w:val="right"/>
              <w:rPr>
                <w:rFonts w:ascii="Times New Roman" w:hAnsi="Times New Roman" w:cs="Times New Roman"/>
              </w:rPr>
            </w:pPr>
            <w:r>
              <w:rPr>
                <w:rFonts w:ascii="Times New Roman" w:hAnsi="Times New Roman" w:cs="Times New Roman"/>
              </w:rPr>
              <w:t>15</w:t>
            </w:r>
            <w:r w:rsidR="00D00779">
              <w:rPr>
                <w:rFonts w:ascii="Times New Roman" w:hAnsi="Times New Roman" w:cs="Times New Roman"/>
              </w:rPr>
              <w:t>.2</w:t>
            </w:r>
          </w:p>
        </w:tc>
        <w:tc>
          <w:tcPr>
            <w:tcW w:w="7830" w:type="dxa"/>
            <w:vAlign w:val="center"/>
          </w:tcPr>
          <w:p w14:paraId="0F49236A" w14:textId="6A9CBB50" w:rsidR="00D00779" w:rsidRPr="002A1724" w:rsidRDefault="00426173" w:rsidP="00A26A47">
            <w:pPr>
              <w:pStyle w:val="Bullet1"/>
            </w:pPr>
            <w:r w:rsidRPr="002A1724">
              <w:t>Principles that govern the interpretation of the mortgage (e.g., use of the masculine form, insertion of headings for convenience only).</w:t>
            </w:r>
          </w:p>
        </w:tc>
        <w:tc>
          <w:tcPr>
            <w:tcW w:w="810" w:type="dxa"/>
            <w:vAlign w:val="center"/>
          </w:tcPr>
          <w:p w14:paraId="03E041D3" w14:textId="61EF110C" w:rsidR="00D00779" w:rsidRPr="006C189C" w:rsidRDefault="00426173" w:rsidP="00A26A47">
            <w:pPr>
              <w:pStyle w:val="Bullet1"/>
              <w:ind w:left="-104"/>
              <w:jc w:val="center"/>
            </w:pPr>
            <w:r w:rsidRPr="00437BB1">
              <w:rPr>
                <w:sz w:val="40"/>
                <w:szCs w:val="40"/>
              </w:rPr>
              <w:sym w:font="Wingdings 2" w:char="F0A3"/>
            </w:r>
          </w:p>
        </w:tc>
      </w:tr>
      <w:tr w:rsidR="00426173" w:rsidRPr="006C189C" w14:paraId="492411CA" w14:textId="77777777" w:rsidTr="00FF1647">
        <w:tc>
          <w:tcPr>
            <w:tcW w:w="715" w:type="dxa"/>
          </w:tcPr>
          <w:p w14:paraId="04DE8767" w14:textId="37B7160B" w:rsidR="00426173" w:rsidRDefault="00426173" w:rsidP="00A26A47">
            <w:pPr>
              <w:spacing w:before="80" w:after="80"/>
              <w:jc w:val="right"/>
              <w:rPr>
                <w:rFonts w:ascii="Times New Roman" w:hAnsi="Times New Roman" w:cs="Times New Roman"/>
              </w:rPr>
            </w:pPr>
            <w:r>
              <w:rPr>
                <w:rFonts w:ascii="Times New Roman" w:hAnsi="Times New Roman" w:cs="Times New Roman"/>
              </w:rPr>
              <w:t>15.3</w:t>
            </w:r>
          </w:p>
        </w:tc>
        <w:tc>
          <w:tcPr>
            <w:tcW w:w="7830" w:type="dxa"/>
            <w:vAlign w:val="center"/>
          </w:tcPr>
          <w:p w14:paraId="67FD1B4F" w14:textId="7E3E6211" w:rsidR="00426173" w:rsidRPr="002A1724" w:rsidRDefault="00426173" w:rsidP="00A26A47">
            <w:pPr>
              <w:pStyle w:val="Bullet1"/>
            </w:pPr>
            <w:r w:rsidRPr="002A1724">
              <w:t>Severability.</w:t>
            </w:r>
          </w:p>
        </w:tc>
        <w:tc>
          <w:tcPr>
            <w:tcW w:w="810" w:type="dxa"/>
            <w:vAlign w:val="center"/>
          </w:tcPr>
          <w:p w14:paraId="740D9BEF" w14:textId="7FC62ED5" w:rsidR="00426173" w:rsidRPr="006C189C" w:rsidRDefault="00426173" w:rsidP="00A26A47">
            <w:pPr>
              <w:pStyle w:val="Bullet1"/>
              <w:ind w:left="-104"/>
              <w:jc w:val="center"/>
            </w:pPr>
            <w:r w:rsidRPr="00437BB1">
              <w:rPr>
                <w:sz w:val="40"/>
                <w:szCs w:val="40"/>
              </w:rPr>
              <w:sym w:font="Wingdings 2" w:char="F0A3"/>
            </w:r>
          </w:p>
        </w:tc>
      </w:tr>
      <w:tr w:rsidR="00426173" w:rsidRPr="006C189C" w14:paraId="67BB5FBE" w14:textId="77777777" w:rsidTr="00FF1647">
        <w:tc>
          <w:tcPr>
            <w:tcW w:w="715" w:type="dxa"/>
          </w:tcPr>
          <w:p w14:paraId="2401BD82" w14:textId="19284548" w:rsidR="00426173" w:rsidRDefault="00426173" w:rsidP="00A26A47">
            <w:pPr>
              <w:spacing w:before="80" w:after="80"/>
              <w:jc w:val="right"/>
              <w:rPr>
                <w:rFonts w:ascii="Times New Roman" w:hAnsi="Times New Roman" w:cs="Times New Roman"/>
              </w:rPr>
            </w:pPr>
            <w:r>
              <w:rPr>
                <w:rFonts w:ascii="Times New Roman" w:hAnsi="Times New Roman" w:cs="Times New Roman"/>
              </w:rPr>
              <w:t>15.4</w:t>
            </w:r>
          </w:p>
        </w:tc>
        <w:tc>
          <w:tcPr>
            <w:tcW w:w="7830" w:type="dxa"/>
            <w:vAlign w:val="center"/>
          </w:tcPr>
          <w:p w14:paraId="71CFEEA1" w14:textId="1CC5B2B8" w:rsidR="00426173" w:rsidRPr="002A1724" w:rsidRDefault="00426173" w:rsidP="00A26A47">
            <w:pPr>
              <w:pStyle w:val="Bullet1"/>
            </w:pPr>
            <w:r w:rsidRPr="002A1724">
              <w:t>Time of the essence.</w:t>
            </w:r>
          </w:p>
        </w:tc>
        <w:tc>
          <w:tcPr>
            <w:tcW w:w="810" w:type="dxa"/>
            <w:vAlign w:val="center"/>
          </w:tcPr>
          <w:p w14:paraId="51027E7D" w14:textId="50E12C79" w:rsidR="00426173" w:rsidRPr="006C189C" w:rsidRDefault="00426173" w:rsidP="00A26A47">
            <w:pPr>
              <w:pStyle w:val="Bullet1"/>
              <w:ind w:left="-104"/>
              <w:jc w:val="center"/>
            </w:pPr>
            <w:r w:rsidRPr="00437BB1">
              <w:rPr>
                <w:sz w:val="40"/>
                <w:szCs w:val="40"/>
              </w:rPr>
              <w:sym w:font="Wingdings 2" w:char="F0A3"/>
            </w:r>
          </w:p>
        </w:tc>
      </w:tr>
      <w:tr w:rsidR="00426173" w:rsidRPr="006C189C" w14:paraId="2523F10B" w14:textId="77777777" w:rsidTr="00FF1647">
        <w:tc>
          <w:tcPr>
            <w:tcW w:w="715" w:type="dxa"/>
          </w:tcPr>
          <w:p w14:paraId="47B30816" w14:textId="07AE7128" w:rsidR="00426173" w:rsidRDefault="00426173" w:rsidP="00A26A47">
            <w:pPr>
              <w:spacing w:before="80" w:after="80"/>
              <w:jc w:val="right"/>
              <w:rPr>
                <w:rFonts w:ascii="Times New Roman" w:hAnsi="Times New Roman" w:cs="Times New Roman"/>
              </w:rPr>
            </w:pPr>
            <w:r>
              <w:rPr>
                <w:rFonts w:ascii="Times New Roman" w:hAnsi="Times New Roman" w:cs="Times New Roman"/>
              </w:rPr>
              <w:t>15.5</w:t>
            </w:r>
          </w:p>
        </w:tc>
        <w:tc>
          <w:tcPr>
            <w:tcW w:w="7830" w:type="dxa"/>
            <w:vAlign w:val="center"/>
          </w:tcPr>
          <w:p w14:paraId="3A4A1DA4" w14:textId="4D9F2E6E" w:rsidR="00426173" w:rsidRPr="002A1724" w:rsidRDefault="00426173" w:rsidP="00A26A47">
            <w:pPr>
              <w:pStyle w:val="Bullet1"/>
            </w:pPr>
            <w:r w:rsidRPr="002A1724">
              <w:t>Notices.</w:t>
            </w:r>
          </w:p>
        </w:tc>
        <w:tc>
          <w:tcPr>
            <w:tcW w:w="810" w:type="dxa"/>
            <w:vAlign w:val="center"/>
          </w:tcPr>
          <w:p w14:paraId="485FFAC3" w14:textId="5AFB6AC2" w:rsidR="00426173" w:rsidRPr="006C189C" w:rsidRDefault="00426173" w:rsidP="00A26A47">
            <w:pPr>
              <w:pStyle w:val="Bullet1"/>
              <w:ind w:left="-104"/>
              <w:jc w:val="center"/>
            </w:pPr>
            <w:r w:rsidRPr="00437BB1">
              <w:rPr>
                <w:sz w:val="40"/>
                <w:szCs w:val="40"/>
              </w:rPr>
              <w:sym w:font="Wingdings 2" w:char="F0A3"/>
            </w:r>
          </w:p>
        </w:tc>
      </w:tr>
      <w:tr w:rsidR="00426173" w:rsidRPr="006C189C" w14:paraId="1CCFC4BB" w14:textId="77777777" w:rsidTr="00FF1647">
        <w:tc>
          <w:tcPr>
            <w:tcW w:w="715" w:type="dxa"/>
          </w:tcPr>
          <w:p w14:paraId="66149260" w14:textId="6BC06FED" w:rsidR="00426173" w:rsidRDefault="00426173" w:rsidP="00A26A47">
            <w:pPr>
              <w:spacing w:before="80" w:after="80"/>
              <w:jc w:val="right"/>
              <w:rPr>
                <w:rFonts w:ascii="Times New Roman" w:hAnsi="Times New Roman" w:cs="Times New Roman"/>
              </w:rPr>
            </w:pPr>
            <w:r>
              <w:rPr>
                <w:rFonts w:ascii="Times New Roman" w:hAnsi="Times New Roman" w:cs="Times New Roman"/>
              </w:rPr>
              <w:t>15.6</w:t>
            </w:r>
          </w:p>
        </w:tc>
        <w:tc>
          <w:tcPr>
            <w:tcW w:w="7830" w:type="dxa"/>
            <w:vAlign w:val="center"/>
          </w:tcPr>
          <w:p w14:paraId="3E40656F" w14:textId="472AF78E" w:rsidR="00426173" w:rsidRPr="002A1724" w:rsidRDefault="00426173" w:rsidP="00A26A47">
            <w:pPr>
              <w:pStyle w:val="Bullet1"/>
            </w:pPr>
            <w:proofErr w:type="spellStart"/>
            <w:r w:rsidRPr="002A1724">
              <w:t>Enurement</w:t>
            </w:r>
            <w:proofErr w:type="spellEnd"/>
            <w:r w:rsidRPr="002A1724">
              <w:t>.</w:t>
            </w:r>
          </w:p>
        </w:tc>
        <w:tc>
          <w:tcPr>
            <w:tcW w:w="810" w:type="dxa"/>
            <w:vAlign w:val="center"/>
          </w:tcPr>
          <w:p w14:paraId="47803721" w14:textId="2BA69ACE" w:rsidR="00426173" w:rsidRPr="006C189C" w:rsidRDefault="00426173" w:rsidP="00A26A47">
            <w:pPr>
              <w:pStyle w:val="Bullet1"/>
              <w:ind w:left="-104"/>
              <w:jc w:val="center"/>
            </w:pPr>
            <w:r w:rsidRPr="00437BB1">
              <w:rPr>
                <w:sz w:val="40"/>
                <w:szCs w:val="40"/>
              </w:rPr>
              <w:sym w:font="Wingdings 2" w:char="F0A3"/>
            </w:r>
          </w:p>
        </w:tc>
      </w:tr>
      <w:tr w:rsidR="00426173" w:rsidRPr="006C189C" w14:paraId="7D9FFEF2" w14:textId="77777777" w:rsidTr="00FF1647">
        <w:tc>
          <w:tcPr>
            <w:tcW w:w="715" w:type="dxa"/>
          </w:tcPr>
          <w:p w14:paraId="29DD5F72" w14:textId="0EDF3914" w:rsidR="00426173" w:rsidRDefault="00426173" w:rsidP="00A26A47">
            <w:pPr>
              <w:spacing w:before="80" w:after="80"/>
              <w:jc w:val="right"/>
              <w:rPr>
                <w:rFonts w:ascii="Times New Roman" w:hAnsi="Times New Roman" w:cs="Times New Roman"/>
              </w:rPr>
            </w:pPr>
            <w:r>
              <w:rPr>
                <w:rFonts w:ascii="Times New Roman" w:hAnsi="Times New Roman" w:cs="Times New Roman"/>
              </w:rPr>
              <w:t>15.7</w:t>
            </w:r>
          </w:p>
        </w:tc>
        <w:tc>
          <w:tcPr>
            <w:tcW w:w="7830" w:type="dxa"/>
            <w:vAlign w:val="center"/>
          </w:tcPr>
          <w:p w14:paraId="2CA365E4" w14:textId="71C22D4A" w:rsidR="00426173" w:rsidRPr="002A1724" w:rsidRDefault="00426173" w:rsidP="00A26A47">
            <w:pPr>
              <w:pStyle w:val="Bullet1"/>
            </w:pPr>
            <w:r w:rsidRPr="002A1724">
              <w:t>Amendment.</w:t>
            </w:r>
          </w:p>
        </w:tc>
        <w:tc>
          <w:tcPr>
            <w:tcW w:w="810" w:type="dxa"/>
            <w:vAlign w:val="center"/>
          </w:tcPr>
          <w:p w14:paraId="1388AEA0" w14:textId="03C66D46" w:rsidR="00426173" w:rsidRPr="006C189C" w:rsidRDefault="00426173" w:rsidP="00A26A47">
            <w:pPr>
              <w:pStyle w:val="Bullet1"/>
              <w:ind w:left="-104"/>
              <w:jc w:val="center"/>
            </w:pPr>
            <w:r w:rsidRPr="00437BB1">
              <w:rPr>
                <w:sz w:val="40"/>
                <w:szCs w:val="40"/>
              </w:rPr>
              <w:sym w:font="Wingdings 2" w:char="F0A3"/>
            </w:r>
          </w:p>
        </w:tc>
      </w:tr>
    </w:tbl>
    <w:p w14:paraId="5D2D573A" w14:textId="77777777" w:rsidR="00893D43" w:rsidRDefault="00893D43">
      <w:r>
        <w:br w:type="page"/>
      </w:r>
    </w:p>
    <w:tbl>
      <w:tblPr>
        <w:tblStyle w:val="TableGrid"/>
        <w:tblW w:w="0" w:type="auto"/>
        <w:tblLook w:val="04A0" w:firstRow="1" w:lastRow="0" w:firstColumn="1" w:lastColumn="0" w:noHBand="0" w:noVBand="1"/>
      </w:tblPr>
      <w:tblGrid>
        <w:gridCol w:w="715"/>
        <w:gridCol w:w="7830"/>
        <w:gridCol w:w="810"/>
      </w:tblGrid>
      <w:tr w:rsidR="00426173" w:rsidRPr="006C189C" w14:paraId="4AAB063F" w14:textId="77777777" w:rsidTr="00FF1647">
        <w:tc>
          <w:tcPr>
            <w:tcW w:w="715" w:type="dxa"/>
          </w:tcPr>
          <w:p w14:paraId="164C70DF" w14:textId="4D76AF3B" w:rsidR="00426173" w:rsidRDefault="00426173" w:rsidP="00A26A47">
            <w:pPr>
              <w:spacing w:before="80" w:after="80"/>
              <w:jc w:val="right"/>
              <w:rPr>
                <w:rFonts w:ascii="Times New Roman" w:hAnsi="Times New Roman" w:cs="Times New Roman"/>
              </w:rPr>
            </w:pPr>
            <w:r>
              <w:rPr>
                <w:rFonts w:ascii="Times New Roman" w:hAnsi="Times New Roman" w:cs="Times New Roman"/>
              </w:rPr>
              <w:lastRenderedPageBreak/>
              <w:t>15.8</w:t>
            </w:r>
          </w:p>
        </w:tc>
        <w:tc>
          <w:tcPr>
            <w:tcW w:w="7830" w:type="dxa"/>
            <w:vAlign w:val="center"/>
          </w:tcPr>
          <w:p w14:paraId="0D92E186" w14:textId="685ABED4" w:rsidR="00426173" w:rsidRPr="002A1724" w:rsidRDefault="00426173" w:rsidP="00A26A47">
            <w:pPr>
              <w:pStyle w:val="Bullet1"/>
            </w:pPr>
            <w:r w:rsidRPr="002A1724">
              <w:t>Appendices.</w:t>
            </w:r>
          </w:p>
        </w:tc>
        <w:tc>
          <w:tcPr>
            <w:tcW w:w="810" w:type="dxa"/>
            <w:vAlign w:val="center"/>
          </w:tcPr>
          <w:p w14:paraId="56E2823B" w14:textId="2818EF7B" w:rsidR="00426173" w:rsidRPr="006C189C" w:rsidRDefault="00426173" w:rsidP="00A26A47">
            <w:pPr>
              <w:pStyle w:val="Bullet1"/>
              <w:ind w:left="-104"/>
              <w:jc w:val="center"/>
            </w:pPr>
            <w:r w:rsidRPr="00437BB1">
              <w:rPr>
                <w:sz w:val="40"/>
                <w:szCs w:val="40"/>
              </w:rPr>
              <w:sym w:font="Wingdings 2" w:char="F0A3"/>
            </w:r>
          </w:p>
        </w:tc>
      </w:tr>
      <w:tr w:rsidR="00426173" w:rsidRPr="006C189C" w14:paraId="1F9B4078" w14:textId="77777777" w:rsidTr="00FF1647">
        <w:tc>
          <w:tcPr>
            <w:tcW w:w="715" w:type="dxa"/>
          </w:tcPr>
          <w:p w14:paraId="487669AF" w14:textId="6FE23787" w:rsidR="00426173" w:rsidRDefault="00426173" w:rsidP="00A26A47">
            <w:pPr>
              <w:spacing w:before="80" w:after="80"/>
              <w:jc w:val="right"/>
              <w:rPr>
                <w:rFonts w:ascii="Times New Roman" w:hAnsi="Times New Roman" w:cs="Times New Roman"/>
              </w:rPr>
            </w:pPr>
            <w:r>
              <w:rPr>
                <w:rFonts w:ascii="Times New Roman" w:hAnsi="Times New Roman" w:cs="Times New Roman"/>
              </w:rPr>
              <w:t>15.9</w:t>
            </w:r>
          </w:p>
        </w:tc>
        <w:tc>
          <w:tcPr>
            <w:tcW w:w="7830" w:type="dxa"/>
            <w:vAlign w:val="center"/>
          </w:tcPr>
          <w:p w14:paraId="01C14322" w14:textId="6D4B5A29" w:rsidR="00426173" w:rsidRPr="002A1724" w:rsidRDefault="00426173" w:rsidP="00A26A47">
            <w:pPr>
              <w:pStyle w:val="Bullet1"/>
            </w:pPr>
            <w:r w:rsidRPr="002A1724">
              <w:t>Jurisdiction and governing law.</w:t>
            </w:r>
          </w:p>
        </w:tc>
        <w:tc>
          <w:tcPr>
            <w:tcW w:w="810" w:type="dxa"/>
            <w:vAlign w:val="center"/>
          </w:tcPr>
          <w:p w14:paraId="6E3919AF" w14:textId="7C8D341C" w:rsidR="00426173" w:rsidRPr="006C189C" w:rsidRDefault="00426173" w:rsidP="00A26A47">
            <w:pPr>
              <w:pStyle w:val="Bullet1"/>
              <w:ind w:left="-104"/>
              <w:jc w:val="center"/>
            </w:pPr>
            <w:r w:rsidRPr="00437BB1">
              <w:rPr>
                <w:sz w:val="40"/>
                <w:szCs w:val="40"/>
              </w:rPr>
              <w:sym w:font="Wingdings 2" w:char="F0A3"/>
            </w:r>
          </w:p>
        </w:tc>
      </w:tr>
    </w:tbl>
    <w:p w14:paraId="0C0798B7" w14:textId="77777777" w:rsidR="0024237C" w:rsidRPr="00A8366A" w:rsidRDefault="0024237C" w:rsidP="00A8366A">
      <w:pPr>
        <w:pStyle w:val="Bullet3"/>
      </w:pPr>
    </w:p>
    <w:sectPr w:rsidR="0024237C" w:rsidRPr="00A8366A" w:rsidSect="00973335">
      <w:headerReference w:type="even" r:id="rId22"/>
      <w:headerReference w:type="default" r:id="rId23"/>
      <w:footerReference w:type="even" r:id="rId24"/>
      <w:footerReference w:type="default" r:id="rId25"/>
      <w:headerReference w:type="first" r:id="rId26"/>
      <w:footerReference w:type="first" r:id="rId27"/>
      <w:pgSz w:w="12240" w:h="15840"/>
      <w:pgMar w:top="1440" w:right="990" w:bottom="1440" w:left="1440" w:header="363"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2F49" w14:textId="77777777" w:rsidR="00443756" w:rsidRDefault="00443756" w:rsidP="001F4715">
      <w:pPr>
        <w:spacing w:after="0"/>
      </w:pPr>
      <w:r>
        <w:separator/>
      </w:r>
    </w:p>
  </w:endnote>
  <w:endnote w:type="continuationSeparator" w:id="0">
    <w:p w14:paraId="2960A7EB" w14:textId="77777777" w:rsidR="00443756" w:rsidRDefault="00443756"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435B" w14:textId="77777777" w:rsidR="00973335" w:rsidRDefault="00616763" w:rsidP="00973335">
    <w:pPr>
      <w:pStyle w:val="Footer"/>
      <w:spacing w:line="180" w:lineRule="exact"/>
      <w:rPr>
        <w:rFonts w:cs="Times New Roman"/>
        <w:noProof/>
      </w:rPr>
    </w:pPr>
    <w:sdt>
      <w:sdtPr>
        <w:rPr>
          <w:rFonts w:ascii="Times New Roman" w:hAnsi="Times New Roman" w:cs="Times New Roman"/>
        </w:rPr>
        <w:id w:val="877675670"/>
        <w:docPartObj>
          <w:docPartGallery w:val="Page Numbers (Bottom of Page)"/>
          <w:docPartUnique/>
        </w:docPartObj>
      </w:sdtPr>
      <w:sdtEndPr>
        <w:rPr>
          <w:noProof/>
        </w:rPr>
      </w:sdtEndPr>
      <w:sdtContent>
        <w:r w:rsidR="00AE13FA">
          <w:rPr>
            <w:rFonts w:ascii="Times New Roman" w:hAnsi="Times New Roman" w:cs="Times New Roman"/>
          </w:rPr>
          <w:t>F</w:t>
        </w:r>
        <w:r w:rsidR="007A7B9F" w:rsidRPr="007A7B9F">
          <w:rPr>
            <w:rFonts w:ascii="Times New Roman" w:hAnsi="Times New Roman" w:cs="Times New Roman"/>
          </w:rPr>
          <w:t>-</w:t>
        </w:r>
        <w:r w:rsidR="00AE13FA">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BB9B" w14:textId="77777777" w:rsidR="00616763" w:rsidRDefault="00616763">
    <w:pPr>
      <w:tabs>
        <w:tab w:val="center" w:pos="4680"/>
        <w:tab w:val="right" w:pos="9360"/>
      </w:tabs>
      <w:spacing w:after="0"/>
    </w:pPr>
    <w:bookmarkStart w:id="0" w:name="eDOCS_Footer"/>
    <w:r>
      <w:rPr>
        <w:rFonts w:ascii="Calibri" w:hAnsi="Calibri" w:cs="Calibri"/>
      </w:rPr>
      <w:t>DM4997985</w:t>
    </w:r>
  </w:p>
  <w:bookmarkEnd w:id="0"/>
  <w:p w14:paraId="2CCE6084" w14:textId="6AEE67B7" w:rsidR="007A7B9F" w:rsidRPr="00973335" w:rsidRDefault="00091777" w:rsidP="007A7B9F">
    <w:pPr>
      <w:pStyle w:val="Footer"/>
      <w:jc w:val="right"/>
      <w:rPr>
        <w:rFonts w:ascii="Times New Roman" w:eastAsiaTheme="minorEastAsia" w:hAnsi="Times New Roman" w:cs="Times New Roman"/>
      </w:rPr>
    </w:pPr>
    <w:r>
      <w:rPr>
        <w:rFonts w:ascii="Times New Roman" w:hAnsi="Times New Roman" w:cs="Times New Roman"/>
        <w:lang w:val="en-US"/>
      </w:rPr>
      <w:ptab w:relativeTo="margin" w:alignment="left" w:leader="none"/>
    </w:r>
    <w:sdt>
      <w:sdtPr>
        <w:rPr>
          <w:rFonts w:ascii="Times New Roman" w:eastAsiaTheme="minorEastAsia" w:hAnsi="Times New Roman" w:cs="Times New Roman"/>
        </w:rPr>
        <w:id w:val="1516575221"/>
        <w:docPartObj>
          <w:docPartGallery w:val="Page Numbers (Bottom of Page)"/>
          <w:docPartUnique/>
        </w:docPartObj>
      </w:sdtPr>
      <w:sdtEndPr/>
      <w:sdtContent>
        <w:r w:rsidR="00AE13FA" w:rsidRPr="00973335">
          <w:rPr>
            <w:rFonts w:ascii="Times New Roman" w:eastAsiaTheme="minorEastAsia" w:hAnsi="Times New Roman" w:cs="Times New Roman"/>
          </w:rPr>
          <w:t>F</w:t>
        </w:r>
        <w:r w:rsidR="007A7B9F" w:rsidRPr="00973335">
          <w:rPr>
            <w:rFonts w:ascii="Times New Roman" w:eastAsiaTheme="minorEastAsia" w:hAnsi="Times New Roman" w:cs="Times New Roman"/>
          </w:rPr>
          <w:t>-</w:t>
        </w:r>
        <w:r w:rsidR="00AE13FA" w:rsidRPr="00973335">
          <w:rPr>
            <w:rFonts w:ascii="Times New Roman" w:eastAsiaTheme="minorEastAsia" w:hAnsi="Times New Roman" w:cs="Times New Roman"/>
          </w:rPr>
          <w:t>3</w:t>
        </w:r>
        <w:r w:rsidR="007A7B9F" w:rsidRPr="00973335">
          <w:rPr>
            <w:rFonts w:ascii="Times New Roman" w:eastAsiaTheme="minorEastAsia" w:hAnsi="Times New Roman" w:cs="Times New Roman"/>
          </w:rPr>
          <w:t>-</w:t>
        </w:r>
        <w:r w:rsidR="007A7B9F" w:rsidRPr="00973335">
          <w:rPr>
            <w:rFonts w:ascii="Times New Roman" w:eastAsiaTheme="minorEastAsia" w:hAnsi="Times New Roman" w:cs="Times New Roman"/>
          </w:rPr>
          <w:fldChar w:fldCharType="begin"/>
        </w:r>
        <w:r w:rsidR="007A7B9F" w:rsidRPr="00973335">
          <w:rPr>
            <w:rFonts w:ascii="Times New Roman" w:eastAsiaTheme="minorEastAsia" w:hAnsi="Times New Roman" w:cs="Times New Roman"/>
          </w:rPr>
          <w:instrText xml:space="preserve"> PAGE   \* MERGEFORMAT </w:instrText>
        </w:r>
        <w:r w:rsidR="007A7B9F" w:rsidRPr="00973335">
          <w:rPr>
            <w:rFonts w:ascii="Times New Roman" w:eastAsiaTheme="minorEastAsia" w:hAnsi="Times New Roman" w:cs="Times New Roman"/>
          </w:rPr>
          <w:fldChar w:fldCharType="separate"/>
        </w:r>
        <w:r w:rsidR="007A7B9F" w:rsidRPr="00973335">
          <w:rPr>
            <w:rFonts w:ascii="Times New Roman" w:eastAsiaTheme="minorEastAsia" w:hAnsi="Times New Roman" w:cs="Times New Roman"/>
          </w:rPr>
          <w:t>1</w:t>
        </w:r>
        <w:r w:rsidR="007A7B9F" w:rsidRPr="00973335">
          <w:rPr>
            <w:rFonts w:ascii="Times New Roman" w:eastAsiaTheme="minorEastAsia"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7851" w14:textId="77777777" w:rsidR="00616763" w:rsidRDefault="00616763">
    <w:pPr>
      <w:tabs>
        <w:tab w:val="center" w:pos="4680"/>
        <w:tab w:val="right" w:pos="9360"/>
      </w:tabs>
      <w:spacing w:after="0"/>
    </w:pPr>
    <w:bookmarkStart w:id="1" w:name="eDOCS_Footer_FirstPage"/>
    <w:r>
      <w:rPr>
        <w:rFonts w:ascii="Calibri" w:hAnsi="Calibri" w:cs="Calibri"/>
      </w:rPr>
      <w:t>DM4997985</w:t>
    </w:r>
  </w:p>
  <w:bookmarkEnd w:id="1"/>
  <w:p w14:paraId="4B99B0B8" w14:textId="477FF8AF" w:rsidR="001C1C59" w:rsidRDefault="001C1C5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DA20" w14:textId="77777777" w:rsidR="00443756" w:rsidRDefault="00443756" w:rsidP="001F4715">
      <w:pPr>
        <w:spacing w:after="0"/>
      </w:pPr>
      <w:r>
        <w:separator/>
      </w:r>
    </w:p>
  </w:footnote>
  <w:footnote w:type="continuationSeparator" w:id="0">
    <w:p w14:paraId="4A5B2548" w14:textId="77777777" w:rsidR="00443756" w:rsidRDefault="00443756"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6C5529D1" w:rsidR="004A3AAF" w:rsidRDefault="00AE13FA"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MORTGAGE DRAFTING</w:t>
    </w:r>
    <w:r w:rsidR="004A3AAF">
      <w:rPr>
        <w:rFonts w:ascii="Times New Roman" w:hAnsi="Times New Roman" w:cs="Times New Roman"/>
        <w:b/>
        <w:lang w:val="en-US"/>
      </w:rPr>
      <w:tab/>
      <w:t>LAW SOCIETY OF BRITISH COLUMBIA</w:t>
    </w:r>
  </w:p>
  <w:p w14:paraId="3A441FBF" w14:textId="77777777" w:rsidR="004A3AAF" w:rsidRPr="001F4715" w:rsidRDefault="004A3AAF" w:rsidP="004A3AAF">
    <w:pPr>
      <w:pStyle w:val="Header"/>
      <w:jc w:val="right"/>
      <w:rPr>
        <w:rFonts w:ascii="Times New Roman" w:hAnsi="Times New Roman" w:cs="Times New Roman"/>
        <w:b/>
        <w:lang w:val="en-US"/>
      </w:rPr>
    </w:pPr>
    <w:r>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20936804"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AE13FA">
      <w:rPr>
        <w:rFonts w:ascii="Times New Roman" w:hAnsi="Times New Roman" w:cs="Times New Roman"/>
        <w:b/>
        <w:lang w:val="en-US"/>
      </w:rPr>
      <w:t>MORTGAGE DRAFTING</w:t>
    </w:r>
  </w:p>
  <w:p w14:paraId="6C3656F9" w14:textId="77777777" w:rsidR="001F4715" w:rsidRPr="001F4715" w:rsidRDefault="0051703F" w:rsidP="00644A0B">
    <w:pPr>
      <w:pStyle w:val="Header"/>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34B5" w14:textId="77777777" w:rsidR="00616763" w:rsidRDefault="00616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C9442C"/>
    <w:multiLevelType w:val="hybridMultilevel"/>
    <w:tmpl w:val="0150D0C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043BB"/>
    <w:multiLevelType w:val="hybridMultilevel"/>
    <w:tmpl w:val="D22A1DC4"/>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4"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6" w15:restartNumberingAfterBreak="0">
    <w:nsid w:val="62773DF0"/>
    <w:multiLevelType w:val="hybridMultilevel"/>
    <w:tmpl w:val="C24694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64F730E0"/>
    <w:multiLevelType w:val="hybridMultilevel"/>
    <w:tmpl w:val="AF5A8416"/>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8" w15:restartNumberingAfterBreak="0">
    <w:nsid w:val="716206CC"/>
    <w:multiLevelType w:val="hybridMultilevel"/>
    <w:tmpl w:val="DFD0C5E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73595F50"/>
    <w:multiLevelType w:val="multilevel"/>
    <w:tmpl w:val="1009001D"/>
    <w:numStyleLink w:val="Newdevelopmentbullet1"/>
  </w:abstractNum>
  <w:abstractNum w:abstractNumId="10"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10"/>
  </w:num>
  <w:num w:numId="5">
    <w:abstractNumId w:val="0"/>
  </w:num>
  <w:num w:numId="6">
    <w:abstractNumId w:val="2"/>
  </w:num>
  <w:num w:numId="7">
    <w:abstractNumId w:val="7"/>
  </w:num>
  <w:num w:numId="8">
    <w:abstractNumId w:val="3"/>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93-6708-6104, v. 1"/>
    <w:docVar w:name="ndGeneratedStampLocation" w:val="ExceptFirst"/>
  </w:docVars>
  <w:rsids>
    <w:rsidRoot w:val="00121A45"/>
    <w:rsid w:val="00006CF8"/>
    <w:rsid w:val="00026C00"/>
    <w:rsid w:val="00055CB6"/>
    <w:rsid w:val="00061234"/>
    <w:rsid w:val="00091777"/>
    <w:rsid w:val="0009665A"/>
    <w:rsid w:val="000A6C5A"/>
    <w:rsid w:val="000B1AAE"/>
    <w:rsid w:val="000B7BA9"/>
    <w:rsid w:val="000D05BC"/>
    <w:rsid w:val="000D4BF9"/>
    <w:rsid w:val="000D7DC4"/>
    <w:rsid w:val="000E2159"/>
    <w:rsid w:val="00111A71"/>
    <w:rsid w:val="00121A45"/>
    <w:rsid w:val="00124079"/>
    <w:rsid w:val="00132F1A"/>
    <w:rsid w:val="00151D64"/>
    <w:rsid w:val="001561EF"/>
    <w:rsid w:val="00181008"/>
    <w:rsid w:val="001821D1"/>
    <w:rsid w:val="001844A5"/>
    <w:rsid w:val="00187224"/>
    <w:rsid w:val="001B10FC"/>
    <w:rsid w:val="001C1C59"/>
    <w:rsid w:val="001C5F6C"/>
    <w:rsid w:val="001F4715"/>
    <w:rsid w:val="00210257"/>
    <w:rsid w:val="00210E66"/>
    <w:rsid w:val="00237E8F"/>
    <w:rsid w:val="0024237C"/>
    <w:rsid w:val="00253395"/>
    <w:rsid w:val="00264A6D"/>
    <w:rsid w:val="002662C2"/>
    <w:rsid w:val="00273379"/>
    <w:rsid w:val="00281E30"/>
    <w:rsid w:val="00282870"/>
    <w:rsid w:val="002A54E7"/>
    <w:rsid w:val="002A6052"/>
    <w:rsid w:val="002C2EF3"/>
    <w:rsid w:val="002C61B4"/>
    <w:rsid w:val="00306FEB"/>
    <w:rsid w:val="00322110"/>
    <w:rsid w:val="00340A88"/>
    <w:rsid w:val="0034184E"/>
    <w:rsid w:val="00347D05"/>
    <w:rsid w:val="0035636A"/>
    <w:rsid w:val="0036014B"/>
    <w:rsid w:val="003613B4"/>
    <w:rsid w:val="00366707"/>
    <w:rsid w:val="00366A97"/>
    <w:rsid w:val="00380C8D"/>
    <w:rsid w:val="00394C85"/>
    <w:rsid w:val="003A515E"/>
    <w:rsid w:val="003B7A76"/>
    <w:rsid w:val="003E46EA"/>
    <w:rsid w:val="003E660F"/>
    <w:rsid w:val="003F0E18"/>
    <w:rsid w:val="003F1498"/>
    <w:rsid w:val="004007A9"/>
    <w:rsid w:val="00410580"/>
    <w:rsid w:val="004128D6"/>
    <w:rsid w:val="00413F67"/>
    <w:rsid w:val="00417912"/>
    <w:rsid w:val="00426173"/>
    <w:rsid w:val="00437BB1"/>
    <w:rsid w:val="00443756"/>
    <w:rsid w:val="00452DA8"/>
    <w:rsid w:val="0045739D"/>
    <w:rsid w:val="004655DA"/>
    <w:rsid w:val="00475856"/>
    <w:rsid w:val="004936BB"/>
    <w:rsid w:val="004A313D"/>
    <w:rsid w:val="004A3AAF"/>
    <w:rsid w:val="004C1EFF"/>
    <w:rsid w:val="004C5E94"/>
    <w:rsid w:val="004D123C"/>
    <w:rsid w:val="004E10DD"/>
    <w:rsid w:val="004E59AE"/>
    <w:rsid w:val="004E60AD"/>
    <w:rsid w:val="004F6D2E"/>
    <w:rsid w:val="00512938"/>
    <w:rsid w:val="0051703F"/>
    <w:rsid w:val="00545A4B"/>
    <w:rsid w:val="00550A50"/>
    <w:rsid w:val="0055322A"/>
    <w:rsid w:val="00573A62"/>
    <w:rsid w:val="005762AB"/>
    <w:rsid w:val="0058483D"/>
    <w:rsid w:val="0059148D"/>
    <w:rsid w:val="00594451"/>
    <w:rsid w:val="005B5696"/>
    <w:rsid w:val="005E0FBD"/>
    <w:rsid w:val="005F6CF5"/>
    <w:rsid w:val="00600431"/>
    <w:rsid w:val="0060277C"/>
    <w:rsid w:val="00603C54"/>
    <w:rsid w:val="00616763"/>
    <w:rsid w:val="00617CBC"/>
    <w:rsid w:val="00623DB8"/>
    <w:rsid w:val="00634A33"/>
    <w:rsid w:val="00640B79"/>
    <w:rsid w:val="00641B6C"/>
    <w:rsid w:val="00644A0B"/>
    <w:rsid w:val="0064602D"/>
    <w:rsid w:val="006B5878"/>
    <w:rsid w:val="006C189C"/>
    <w:rsid w:val="006E4A9A"/>
    <w:rsid w:val="006E55CB"/>
    <w:rsid w:val="006F1447"/>
    <w:rsid w:val="007145EA"/>
    <w:rsid w:val="00742FC7"/>
    <w:rsid w:val="00743584"/>
    <w:rsid w:val="007553E8"/>
    <w:rsid w:val="00755B10"/>
    <w:rsid w:val="00783BB3"/>
    <w:rsid w:val="00787658"/>
    <w:rsid w:val="007A53F0"/>
    <w:rsid w:val="007A7B9F"/>
    <w:rsid w:val="007C4848"/>
    <w:rsid w:val="007D1803"/>
    <w:rsid w:val="007E3A19"/>
    <w:rsid w:val="007F7356"/>
    <w:rsid w:val="00816D96"/>
    <w:rsid w:val="00834DFA"/>
    <w:rsid w:val="00852FB6"/>
    <w:rsid w:val="008719A1"/>
    <w:rsid w:val="00873532"/>
    <w:rsid w:val="00893D43"/>
    <w:rsid w:val="008978EC"/>
    <w:rsid w:val="008A33BC"/>
    <w:rsid w:val="008A69BF"/>
    <w:rsid w:val="008C383C"/>
    <w:rsid w:val="008D2BB6"/>
    <w:rsid w:val="008D4B01"/>
    <w:rsid w:val="008F4EF7"/>
    <w:rsid w:val="00903B88"/>
    <w:rsid w:val="00920EBA"/>
    <w:rsid w:val="00925CC5"/>
    <w:rsid w:val="00962FF1"/>
    <w:rsid w:val="009679AF"/>
    <w:rsid w:val="00973335"/>
    <w:rsid w:val="009C3655"/>
    <w:rsid w:val="00A3144D"/>
    <w:rsid w:val="00A8068B"/>
    <w:rsid w:val="00A8366A"/>
    <w:rsid w:val="00A84E85"/>
    <w:rsid w:val="00A86A33"/>
    <w:rsid w:val="00A906DB"/>
    <w:rsid w:val="00A96286"/>
    <w:rsid w:val="00AB07A3"/>
    <w:rsid w:val="00AB59BD"/>
    <w:rsid w:val="00AC708A"/>
    <w:rsid w:val="00AD66F7"/>
    <w:rsid w:val="00AD6B19"/>
    <w:rsid w:val="00AE13FA"/>
    <w:rsid w:val="00AE258D"/>
    <w:rsid w:val="00AE48EE"/>
    <w:rsid w:val="00AF6BFB"/>
    <w:rsid w:val="00B310D5"/>
    <w:rsid w:val="00B41AB4"/>
    <w:rsid w:val="00B42FEE"/>
    <w:rsid w:val="00B443B8"/>
    <w:rsid w:val="00B44F91"/>
    <w:rsid w:val="00B80A80"/>
    <w:rsid w:val="00B84BFF"/>
    <w:rsid w:val="00B92897"/>
    <w:rsid w:val="00B946A4"/>
    <w:rsid w:val="00B96306"/>
    <w:rsid w:val="00B9758E"/>
    <w:rsid w:val="00BA2B59"/>
    <w:rsid w:val="00BA54B5"/>
    <w:rsid w:val="00C15D94"/>
    <w:rsid w:val="00C428ED"/>
    <w:rsid w:val="00C4719F"/>
    <w:rsid w:val="00C5273F"/>
    <w:rsid w:val="00C56880"/>
    <w:rsid w:val="00C61E96"/>
    <w:rsid w:val="00C62AC5"/>
    <w:rsid w:val="00C725DB"/>
    <w:rsid w:val="00C7315E"/>
    <w:rsid w:val="00C81C93"/>
    <w:rsid w:val="00C83E5F"/>
    <w:rsid w:val="00CA2D3C"/>
    <w:rsid w:val="00CB6EF2"/>
    <w:rsid w:val="00CC1CDC"/>
    <w:rsid w:val="00CD45E7"/>
    <w:rsid w:val="00CD601C"/>
    <w:rsid w:val="00D00779"/>
    <w:rsid w:val="00D415B9"/>
    <w:rsid w:val="00D46C2F"/>
    <w:rsid w:val="00D73112"/>
    <w:rsid w:val="00D960B3"/>
    <w:rsid w:val="00DA43C9"/>
    <w:rsid w:val="00DB21D4"/>
    <w:rsid w:val="00DC22C2"/>
    <w:rsid w:val="00DD6C93"/>
    <w:rsid w:val="00DF5F59"/>
    <w:rsid w:val="00E013EA"/>
    <w:rsid w:val="00E07E24"/>
    <w:rsid w:val="00E14E00"/>
    <w:rsid w:val="00E33E7D"/>
    <w:rsid w:val="00E54D93"/>
    <w:rsid w:val="00E72476"/>
    <w:rsid w:val="00E8707E"/>
    <w:rsid w:val="00EA299E"/>
    <w:rsid w:val="00EA70A8"/>
    <w:rsid w:val="00EF1DBD"/>
    <w:rsid w:val="00F0440B"/>
    <w:rsid w:val="00F14369"/>
    <w:rsid w:val="00F2085D"/>
    <w:rsid w:val="00F53BF5"/>
    <w:rsid w:val="00F54347"/>
    <w:rsid w:val="00F63E01"/>
    <w:rsid w:val="00F65855"/>
    <w:rsid w:val="00F66C07"/>
    <w:rsid w:val="00F67246"/>
    <w:rsid w:val="00F676A3"/>
    <w:rsid w:val="00FA6391"/>
    <w:rsid w:val="00FA6C5A"/>
    <w:rsid w:val="00FB0E8F"/>
    <w:rsid w:val="00FC1FB3"/>
    <w:rsid w:val="00FF1647"/>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rsid w:val="00AE13FA"/>
    <w:rPr>
      <w:rFonts w:ascii="Times" w:hAnsi="Times"/>
      <w:smallCaps/>
      <w:sz w:val="20"/>
    </w:rPr>
  </w:style>
  <w:style w:type="character" w:styleId="Hyperlink">
    <w:name w:val="Hyperlink"/>
    <w:rsid w:val="00AE13FA"/>
    <w:rPr>
      <w:color w:val="0000FF"/>
      <w:u w:val="single"/>
    </w:rPr>
  </w:style>
  <w:style w:type="character" w:customStyle="1" w:styleId="Italics">
    <w:name w:val="Italics"/>
    <w:rsid w:val="000B1AAE"/>
    <w:rPr>
      <w:rFonts w:ascii="Times" w:hAnsi="Times"/>
      <w:i/>
      <w:sz w:val="20"/>
    </w:rPr>
  </w:style>
  <w:style w:type="character" w:customStyle="1" w:styleId="ItalicsI1">
    <w:name w:val="Italics=I1"/>
    <w:rsid w:val="00D00779"/>
    <w:rPr>
      <w:rFonts w:ascii="Times New Roman" w:hAnsi="Times New Roman"/>
      <w:i/>
      <w:sz w:val="20"/>
    </w:rPr>
  </w:style>
  <w:style w:type="paragraph" w:styleId="Revision">
    <w:name w:val="Revision"/>
    <w:hidden/>
    <w:uiPriority w:val="99"/>
    <w:semiHidden/>
    <w:rsid w:val="003F1498"/>
    <w:pPr>
      <w:spacing w:after="0"/>
    </w:pPr>
  </w:style>
  <w:style w:type="character" w:styleId="UnresolvedMention">
    <w:name w:val="Unresolved Mention"/>
    <w:basedOn w:val="DefaultParagraphFont"/>
    <w:uiPriority w:val="99"/>
    <w:semiHidden/>
    <w:unhideWhenUsed/>
    <w:rsid w:val="000B7BA9"/>
    <w:rPr>
      <w:color w:val="605E5C"/>
      <w:shd w:val="clear" w:color="auto" w:fill="E1DFDD"/>
    </w:rPr>
  </w:style>
  <w:style w:type="character" w:styleId="CommentReference">
    <w:name w:val="annotation reference"/>
    <w:basedOn w:val="DefaultParagraphFont"/>
    <w:uiPriority w:val="99"/>
    <w:semiHidden/>
    <w:unhideWhenUsed/>
    <w:rsid w:val="000B7BA9"/>
    <w:rPr>
      <w:sz w:val="16"/>
      <w:szCs w:val="16"/>
    </w:rPr>
  </w:style>
  <w:style w:type="paragraph" w:styleId="CommentText">
    <w:name w:val="annotation text"/>
    <w:basedOn w:val="Normal"/>
    <w:link w:val="CommentTextChar"/>
    <w:uiPriority w:val="99"/>
    <w:unhideWhenUsed/>
    <w:rsid w:val="000B7BA9"/>
    <w:rPr>
      <w:sz w:val="20"/>
      <w:szCs w:val="20"/>
    </w:rPr>
  </w:style>
  <w:style w:type="character" w:customStyle="1" w:styleId="CommentTextChar">
    <w:name w:val="Comment Text Char"/>
    <w:basedOn w:val="DefaultParagraphFont"/>
    <w:link w:val="CommentText"/>
    <w:uiPriority w:val="99"/>
    <w:rsid w:val="000B7BA9"/>
    <w:rPr>
      <w:sz w:val="20"/>
      <w:szCs w:val="20"/>
    </w:rPr>
  </w:style>
  <w:style w:type="paragraph" w:styleId="CommentSubject">
    <w:name w:val="annotation subject"/>
    <w:basedOn w:val="CommentText"/>
    <w:next w:val="CommentText"/>
    <w:link w:val="CommentSubjectChar"/>
    <w:uiPriority w:val="99"/>
    <w:semiHidden/>
    <w:unhideWhenUsed/>
    <w:rsid w:val="000B7BA9"/>
    <w:rPr>
      <w:b/>
      <w:bCs/>
    </w:rPr>
  </w:style>
  <w:style w:type="character" w:customStyle="1" w:styleId="CommentSubjectChar">
    <w:name w:val="Comment Subject Char"/>
    <w:basedOn w:val="CommentTextChar"/>
    <w:link w:val="CommentSubject"/>
    <w:uiPriority w:val="99"/>
    <w:semiHidden/>
    <w:rsid w:val="000B7BA9"/>
    <w:rPr>
      <w:b/>
      <w:bCs/>
      <w:sz w:val="20"/>
      <w:szCs w:val="20"/>
    </w:rPr>
  </w:style>
  <w:style w:type="character" w:styleId="FollowedHyperlink">
    <w:name w:val="FollowedHyperlink"/>
    <w:basedOn w:val="DefaultParagraphFont"/>
    <w:uiPriority w:val="99"/>
    <w:semiHidden/>
    <w:unhideWhenUsed/>
    <w:rsid w:val="00B84B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e.bc.ca" TargetMode="External"/><Relationship Id="rId18" Type="http://schemas.openxmlformats.org/officeDocument/2006/relationships/hyperlink" Target="https://www.lawsociety.bc.ca/for-lawyers/discipline-advisori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bcfsa.ca/media/1522/download" TargetMode="External"/><Relationship Id="rId7" Type="http://schemas.openxmlformats.org/officeDocument/2006/relationships/endnotes" Target="endnotes.xml"/><Relationship Id="rId12" Type="http://schemas.openxmlformats.org/officeDocument/2006/relationships/hyperlink" Target="http://www.labrc.com" TargetMode="External"/><Relationship Id="rId17" Type="http://schemas.openxmlformats.org/officeDocument/2006/relationships/hyperlink" Target="https://www.lif.ca/LIF/media/Shared/docs/Funds_Transfer_Verification_Checklis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if.ca/risk-management/fraud-prevention/" TargetMode="External"/><Relationship Id="rId20" Type="http://schemas.openxmlformats.org/officeDocument/2006/relationships/hyperlink" Target="https://www.lawsociety.bc.ca/for-lawyers/discipline-advisories/april-2,-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sa.ca/retirement-of-covid-measures-effective-september-3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society.bc.ca/Website/media/Shared/docs/bulletin/BB_2021-02-Summer.pdf?ext=.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awsociety.bc.ca/getmedia/aaa5f739-6cc1-4d7b-b950-030561d3a6d6/Acting-as-agent-for-title-insurer.pdf" TargetMode="External"/><Relationship Id="rId19" Type="http://schemas.openxmlformats.org/officeDocument/2006/relationships/hyperlink" Target="mailto:practiceadvice@lsbc.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wsociety.bc.ca/for-lawyers/practice-resources/client-id-verificatio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3418</Words>
  <Characters>19487</Characters>
  <Application>Microsoft Office Word</Application>
  <DocSecurity>0</DocSecurity>
  <Lines>162</Lines>
  <Paragraphs>45</Paragraphs>
  <ScaleCrop>false</ScaleCrop>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2026-01-28T22:46:00Z</dcterms:created>
  <dcterms:modified xsi:type="dcterms:W3CDTF">2026-01-28T22:46:00Z</dcterms:modified>
</cp:coreProperties>
</file>